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6EDC6" w14:textId="77777777" w:rsidR="004F459C" w:rsidRDefault="004F459C" w:rsidP="004F459C">
      <w:pPr>
        <w:pStyle w:val="NormalWeb"/>
        <w:spacing w:before="0" w:beforeAutospacing="0" w:after="40" w:afterAutospacing="0"/>
        <w:jc w:val="both"/>
        <w:rPr>
          <w:color w:val="000000"/>
        </w:rPr>
      </w:pPr>
    </w:p>
    <w:p w14:paraId="237C9BB3" w14:textId="77777777" w:rsidR="004F459C" w:rsidRPr="00CD2A61" w:rsidRDefault="004F459C" w:rsidP="004F459C">
      <w:pPr>
        <w:pStyle w:val="NormalWeb"/>
        <w:spacing w:before="0" w:beforeAutospacing="0" w:after="40" w:afterAutospacing="0"/>
        <w:jc w:val="both"/>
        <w:rPr>
          <w:color w:val="000000"/>
          <w:sz w:val="22"/>
          <w:szCs w:val="22"/>
        </w:rPr>
      </w:pPr>
      <w:r w:rsidRPr="00CD2A61">
        <w:rPr>
          <w:color w:val="000000"/>
          <w:sz w:val="22"/>
          <w:szCs w:val="22"/>
        </w:rPr>
        <w:br w:type="page"/>
      </w:r>
    </w:p>
    <w:p w14:paraId="7E6DE28A" w14:textId="77777777" w:rsidR="004F459C" w:rsidRPr="00CD2A61" w:rsidRDefault="004F459C" w:rsidP="004F459C">
      <w:pPr>
        <w:pStyle w:val="Body2"/>
        <w:jc w:val="right"/>
        <w:rPr>
          <w:rFonts w:eastAsia="Times New Roman"/>
          <w:bdr w:val="none" w:sz="0" w:space="0" w:color="auto"/>
          <w:lang w:val="lt-LT"/>
        </w:rPr>
        <w:sectPr w:rsidR="004F459C" w:rsidRPr="00CD2A61" w:rsidSect="004F459C">
          <w:footerReference w:type="default" r:id="rId7"/>
          <w:pgSz w:w="11900" w:h="16840" w:code="9"/>
          <w:pgMar w:top="426" w:right="567" w:bottom="567" w:left="1418" w:header="720" w:footer="720" w:gutter="0"/>
          <w:cols w:space="1296"/>
        </w:sectPr>
      </w:pPr>
    </w:p>
    <w:p w14:paraId="5898B108" w14:textId="77777777" w:rsidR="004F459C" w:rsidRPr="00CD2A61" w:rsidRDefault="004F459C" w:rsidP="004F459C">
      <w:pPr>
        <w:pStyle w:val="Body2"/>
        <w:jc w:val="right"/>
        <w:rPr>
          <w:lang w:val="lt-LT"/>
        </w:rPr>
      </w:pPr>
      <w:r w:rsidRPr="00CD2A61">
        <w:rPr>
          <w:rFonts w:eastAsia="Times New Roman"/>
          <w:bdr w:val="none" w:sz="0" w:space="0" w:color="auto"/>
          <w:lang w:val="lt-LT"/>
        </w:rPr>
        <w:lastRenderedPageBreak/>
        <w:t>Pirkimo dokumentų (SPS) 1 priedas</w:t>
      </w:r>
    </w:p>
    <w:p w14:paraId="74CC6522" w14:textId="77777777" w:rsidR="004F459C" w:rsidRPr="00CD2A61" w:rsidRDefault="004F459C" w:rsidP="004F459C">
      <w:pPr>
        <w:pStyle w:val="Body2"/>
        <w:jc w:val="right"/>
        <w:rPr>
          <w:rFonts w:cs="Times New Roman"/>
          <w:lang w:val="lt-LT"/>
        </w:rPr>
      </w:pPr>
    </w:p>
    <w:p w14:paraId="6050B266" w14:textId="77777777" w:rsidR="004F459C" w:rsidRPr="00FF6EAE" w:rsidRDefault="004F459C" w:rsidP="004F459C">
      <w:pPr>
        <w:pStyle w:val="Body"/>
        <w:spacing w:line="240" w:lineRule="auto"/>
        <w:jc w:val="center"/>
        <w:rPr>
          <w:rFonts w:ascii="Times New Roman" w:hAnsi="Times New Roman"/>
          <w:b/>
          <w:bCs/>
          <w:color w:val="auto"/>
          <w:sz w:val="24"/>
          <w:szCs w:val="24"/>
        </w:rPr>
      </w:pPr>
      <w:r>
        <w:rPr>
          <w:rFonts w:ascii="Times New Roman" w:hAnsi="Times New Roman"/>
          <w:b/>
          <w:bCs/>
          <w:color w:val="auto"/>
          <w:sz w:val="24"/>
          <w:szCs w:val="24"/>
        </w:rPr>
        <w:t xml:space="preserve">ODONTOLOGINIAI INSTRUMENTAI (4) </w:t>
      </w:r>
      <w:r w:rsidRPr="00875F6F">
        <w:rPr>
          <w:rFonts w:ascii="Times New Roman" w:hAnsi="Times New Roman"/>
          <w:b/>
          <w:bCs/>
          <w:color w:val="auto"/>
          <w:sz w:val="24"/>
          <w:szCs w:val="24"/>
        </w:rPr>
        <w:t>(</w:t>
      </w:r>
      <w:r>
        <w:rPr>
          <w:rFonts w:ascii="Times New Roman" w:hAnsi="Times New Roman"/>
          <w:b/>
          <w:bCs/>
          <w:color w:val="auto"/>
          <w:sz w:val="24"/>
          <w:szCs w:val="24"/>
        </w:rPr>
        <w:t>9315</w:t>
      </w:r>
      <w:r w:rsidRPr="00875F6F">
        <w:rPr>
          <w:rFonts w:ascii="Times New Roman" w:hAnsi="Times New Roman"/>
          <w:b/>
          <w:bCs/>
          <w:color w:val="auto"/>
          <w:sz w:val="24"/>
          <w:szCs w:val="24"/>
        </w:rPr>
        <w:t>)</w:t>
      </w:r>
    </w:p>
    <w:p w14:paraId="12D8E65F" w14:textId="77777777" w:rsidR="004F459C" w:rsidRPr="00DE5B64" w:rsidRDefault="004F459C" w:rsidP="004F459C">
      <w:pPr>
        <w:jc w:val="center"/>
        <w:rPr>
          <w:rFonts w:eastAsia="Calibri"/>
          <w:b/>
          <w:sz w:val="22"/>
          <w:szCs w:val="22"/>
          <w:bdr w:val="none" w:sz="0" w:space="0" w:color="auto"/>
          <w:lang w:val="lt-LT"/>
        </w:rPr>
      </w:pPr>
      <w:r w:rsidRPr="00DE5B64">
        <w:rPr>
          <w:rFonts w:eastAsia="Calibri"/>
          <w:b/>
          <w:sz w:val="22"/>
          <w:szCs w:val="22"/>
          <w:bdr w:val="none" w:sz="0" w:space="0" w:color="auto"/>
          <w:lang w:val="lt-LT"/>
        </w:rPr>
        <w:t>TECHNINĖ SPECIFIKACIJA</w:t>
      </w:r>
    </w:p>
    <w:p w14:paraId="260A92E5" w14:textId="77777777" w:rsidR="004F459C" w:rsidRDefault="004F459C" w:rsidP="004F459C">
      <w:pPr>
        <w:rPr>
          <w:lang w:val="lt-LT"/>
        </w:rPr>
      </w:pPr>
    </w:p>
    <w:p w14:paraId="7EB2207F" w14:textId="77777777" w:rsidR="004F459C" w:rsidRDefault="004F459C" w:rsidP="004F459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lang w:val="lt-LT"/>
        </w:rPr>
      </w:pPr>
      <w:r>
        <w:rPr>
          <w:lang w:val="lt-LT"/>
        </w:rPr>
        <w:t>1</w:t>
      </w:r>
      <w:r w:rsidRPr="00235325">
        <w:rPr>
          <w:lang w:val="lt-LT"/>
        </w:rPr>
        <w:t>. Prekių charakteristikoms patvirtinti tiekėjai privalo pateikti techninių duomenų lapą</w:t>
      </w:r>
      <w:r>
        <w:rPr>
          <w:lang w:val="lt-LT"/>
        </w:rPr>
        <w:t xml:space="preserve"> </w:t>
      </w:r>
      <w:r w:rsidRPr="00235325">
        <w:rPr>
          <w:lang w:val="lt-LT"/>
        </w:rPr>
        <w:t>ar lygiavertį gamintojo dokumentą.</w:t>
      </w:r>
    </w:p>
    <w:p w14:paraId="1295A904" w14:textId="77777777" w:rsidR="004F459C" w:rsidRDefault="004F459C" w:rsidP="004F459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lang w:val="lt-LT"/>
        </w:rPr>
      </w:pPr>
      <w:r>
        <w:rPr>
          <w:lang w:val="lt-LT"/>
        </w:rPr>
        <w:t>2</w:t>
      </w:r>
      <w:r w:rsidRPr="00833B61">
        <w:rPr>
          <w:lang w:val="lt-LT"/>
        </w:rPr>
        <w:t>. Visoms nurodytoms konkrečioms medžiagoms ir/ar konkretiems prekių pavadinimams taikoma „arba lygiavertis“.</w:t>
      </w:r>
    </w:p>
    <w:p w14:paraId="1281C21E" w14:textId="77777777" w:rsidR="004F459C" w:rsidRDefault="004F459C" w:rsidP="004F459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lang w:val="lt-LT"/>
        </w:rPr>
      </w:pPr>
      <w:r>
        <w:rPr>
          <w:lang w:val="lt-LT"/>
        </w:rPr>
        <w:t>3</w:t>
      </w:r>
      <w:r w:rsidRPr="00054A70">
        <w:rPr>
          <w:lang w:val="lt-LT"/>
        </w:rPr>
        <w:t>. Tiekėjas, siūlantis lygiavertę prekę privalo patikimomis priemonėmis įrodyti, kad siūloma prekė yra lygiavertė ir visiškai atitinka techninėje specifikacijoje keliamus reikalavimus</w:t>
      </w:r>
      <w:r>
        <w:rPr>
          <w:lang w:val="lt-LT"/>
        </w:rPr>
        <w:t>.</w:t>
      </w:r>
    </w:p>
    <w:p w14:paraId="1700AD34" w14:textId="77777777" w:rsidR="004F459C" w:rsidRPr="00EC258D" w:rsidRDefault="004F459C" w:rsidP="004F459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lang w:val="lt-LT"/>
        </w:rPr>
      </w:pPr>
      <w:r>
        <w:rPr>
          <w:lang w:val="lt-LT"/>
        </w:rPr>
        <w:t>4</w:t>
      </w:r>
      <w:r w:rsidRPr="00EC258D">
        <w:rPr>
          <w:lang w:val="lt-LT"/>
        </w:rPr>
        <w:t xml:space="preserve">. Tiekėjas turi pateikti dokumentus, įrodančius siūlomų prekių atitikimą kokybės ir techniniams reikalavimams, nurodytiems pirkimo dokumentų techninėje specifikacijoje: tiekėjas turi pateikti gamintojo parengtus katalogus ir siūlomų prekių techninių charakteristikų aprašymus (jei gamintojo kataloge neišsamiai atsispindi siūlomos prekės atitikimas techninės specifikacijos reikalavimams) (pdf formatu). Prekių katalogai ir aprašymai gali būti pateikiami anglų kalba. Jei atitinkami dokumentai yra išduoti kita, nei reikalaujama, kalba (lietuvių ar anglų), kartu turi būti pateiktas vertimas į lietuvių kalbą. Šiuose dokumentuose tiekėjas turi grafiškai nurodyti (t. y. pastebimai pažymėti – spalvotai markiruoti, ir/ar nurodyti rodyklėmis, ir/ar pabraukti) konkrečias teikiamų dokumentų vietas, kur aprašomos reikalaujamų techninių charakteristikų reikšmės. Taip pat tiekėjas turi pateikti nuorodas į gamintojo interneto tinklalapį (jei toks yra), kuriame perkančiosios organizacijos vertintojai galėtų patikrinti teikiamų duomenų autentiškumą (nuorodos turi būti parašytos pateikiamuose kataloguose ar aprašymuose). Kiti gamintojo dokumentai, nenurodyti šiame punkte, nebus laikomi pakankama ir patikima informacija vertinimui atlikti. </w:t>
      </w:r>
    </w:p>
    <w:p w14:paraId="10014F21" w14:textId="77777777" w:rsidR="004F459C" w:rsidRDefault="004F459C" w:rsidP="004F459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lang w:val="lt-LT"/>
        </w:rPr>
      </w:pPr>
      <w:r w:rsidRPr="00EC258D">
        <w:rPr>
          <w:lang w:val="lt-LT"/>
        </w:rPr>
        <w:t xml:space="preserve">      PO turi teisę reikalauti pateikti katalogų ir techninių aprašų originalus, o tiekėjui jų nepateikus – pasiūlymą atmesti.</w:t>
      </w:r>
    </w:p>
    <w:p w14:paraId="1D45510C" w14:textId="77777777" w:rsidR="004F459C" w:rsidRDefault="004F459C" w:rsidP="004F459C">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rFonts w:eastAsia="Times New Roman"/>
          <w:b/>
          <w:bCs/>
          <w:sz w:val="22"/>
          <w:szCs w:val="22"/>
          <w:bdr w:val="none" w:sz="0" w:space="0" w:color="auto"/>
          <w:lang w:val="lt-LT" w:eastAsia="lt-LT"/>
        </w:rPr>
      </w:pPr>
    </w:p>
    <w:tbl>
      <w:tblPr>
        <w:tblW w:w="1626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0"/>
        <w:gridCol w:w="1848"/>
        <w:gridCol w:w="1984"/>
        <w:gridCol w:w="992"/>
        <w:gridCol w:w="1447"/>
        <w:gridCol w:w="1984"/>
        <w:gridCol w:w="1813"/>
        <w:gridCol w:w="851"/>
        <w:gridCol w:w="1386"/>
        <w:gridCol w:w="1307"/>
        <w:gridCol w:w="1525"/>
      </w:tblGrid>
      <w:tr w:rsidR="004F459C" w:rsidRPr="00025463" w14:paraId="3A552EBD" w14:textId="77777777" w:rsidTr="00454FAD">
        <w:trPr>
          <w:trHeight w:val="467"/>
        </w:trPr>
        <w:tc>
          <w:tcPr>
            <w:tcW w:w="1130" w:type="dxa"/>
            <w:vAlign w:val="center"/>
          </w:tcPr>
          <w:p w14:paraId="07430BB6" w14:textId="77777777" w:rsidR="004F459C" w:rsidRPr="00025463" w:rsidRDefault="004F459C" w:rsidP="00454FAD">
            <w:pPr>
              <w:jc w:val="center"/>
              <w:rPr>
                <w:b/>
                <w:sz w:val="22"/>
                <w:szCs w:val="22"/>
                <w:lang w:val="it-IT"/>
              </w:rPr>
            </w:pPr>
            <w:r w:rsidRPr="00025463">
              <w:rPr>
                <w:b/>
                <w:sz w:val="22"/>
                <w:szCs w:val="22"/>
                <w:lang w:val="it-IT"/>
              </w:rPr>
              <w:t>Pirkimo dalies Nr.</w:t>
            </w:r>
          </w:p>
        </w:tc>
        <w:tc>
          <w:tcPr>
            <w:tcW w:w="1848" w:type="dxa"/>
            <w:vAlign w:val="center"/>
          </w:tcPr>
          <w:p w14:paraId="3224EA22" w14:textId="77777777" w:rsidR="004F459C" w:rsidRPr="00025463" w:rsidRDefault="004F459C" w:rsidP="00454FAD">
            <w:pPr>
              <w:jc w:val="center"/>
              <w:rPr>
                <w:b/>
                <w:sz w:val="22"/>
                <w:szCs w:val="22"/>
                <w:lang w:val="it-IT"/>
              </w:rPr>
            </w:pPr>
            <w:r w:rsidRPr="00025463">
              <w:rPr>
                <w:b/>
                <w:bCs/>
                <w:sz w:val="22"/>
                <w:szCs w:val="22"/>
              </w:rPr>
              <w:t xml:space="preserve">Priemonės pavadinimas </w:t>
            </w:r>
          </w:p>
        </w:tc>
        <w:tc>
          <w:tcPr>
            <w:tcW w:w="1984" w:type="dxa"/>
            <w:vAlign w:val="center"/>
          </w:tcPr>
          <w:p w14:paraId="4D36E9DA" w14:textId="77777777" w:rsidR="004F459C" w:rsidRPr="00025463" w:rsidRDefault="004F459C" w:rsidP="00454FAD">
            <w:pPr>
              <w:jc w:val="center"/>
              <w:rPr>
                <w:b/>
                <w:sz w:val="22"/>
                <w:szCs w:val="22"/>
                <w:lang w:val="it-IT"/>
              </w:rPr>
            </w:pPr>
            <w:r w:rsidRPr="00025463">
              <w:rPr>
                <w:b/>
                <w:bCs/>
                <w:sz w:val="22"/>
                <w:szCs w:val="22"/>
              </w:rPr>
              <w:t>Reikalavimai</w:t>
            </w:r>
          </w:p>
        </w:tc>
        <w:tc>
          <w:tcPr>
            <w:tcW w:w="992" w:type="dxa"/>
            <w:vAlign w:val="center"/>
          </w:tcPr>
          <w:p w14:paraId="4EB61F52" w14:textId="77777777" w:rsidR="004F459C" w:rsidRPr="00025463" w:rsidRDefault="004F459C" w:rsidP="00454FAD">
            <w:pPr>
              <w:jc w:val="center"/>
              <w:rPr>
                <w:b/>
                <w:bCs/>
                <w:sz w:val="22"/>
                <w:szCs w:val="22"/>
              </w:rPr>
            </w:pPr>
            <w:r w:rsidRPr="00025463">
              <w:rPr>
                <w:b/>
                <w:bCs/>
                <w:sz w:val="22"/>
                <w:szCs w:val="22"/>
              </w:rPr>
              <w:t>Mato vnt.</w:t>
            </w:r>
          </w:p>
        </w:tc>
        <w:tc>
          <w:tcPr>
            <w:tcW w:w="1447" w:type="dxa"/>
            <w:vAlign w:val="center"/>
          </w:tcPr>
          <w:p w14:paraId="3BDC5F70" w14:textId="77777777" w:rsidR="004F459C" w:rsidRPr="00025463" w:rsidRDefault="004F459C" w:rsidP="00454FAD">
            <w:pPr>
              <w:jc w:val="center"/>
              <w:rPr>
                <w:b/>
                <w:sz w:val="22"/>
                <w:szCs w:val="22"/>
                <w:lang w:val="it-IT"/>
              </w:rPr>
            </w:pPr>
            <w:r>
              <w:rPr>
                <w:b/>
                <w:bCs/>
                <w:sz w:val="22"/>
                <w:szCs w:val="22"/>
              </w:rPr>
              <w:t>Maksimalus</w:t>
            </w:r>
            <w:r w:rsidRPr="00025463">
              <w:rPr>
                <w:b/>
                <w:bCs/>
                <w:sz w:val="22"/>
                <w:szCs w:val="22"/>
              </w:rPr>
              <w:t xml:space="preserve"> kiekis.</w:t>
            </w:r>
          </w:p>
        </w:tc>
        <w:tc>
          <w:tcPr>
            <w:tcW w:w="1984" w:type="dxa"/>
            <w:vAlign w:val="center"/>
          </w:tcPr>
          <w:p w14:paraId="10460C94" w14:textId="77777777" w:rsidR="004F459C" w:rsidRPr="00025463" w:rsidRDefault="004F459C" w:rsidP="00454FAD">
            <w:pPr>
              <w:jc w:val="both"/>
              <w:rPr>
                <w:b/>
                <w:sz w:val="22"/>
                <w:szCs w:val="22"/>
                <w:lang w:val="it-IT"/>
              </w:rPr>
            </w:pPr>
            <w:r w:rsidRPr="00025463">
              <w:rPr>
                <w:rFonts w:eastAsia="Times New Roman"/>
                <w:b/>
                <w:bCs/>
                <w:sz w:val="22"/>
                <w:szCs w:val="22"/>
                <w:bdr w:val="none" w:sz="0" w:space="0" w:color="auto"/>
                <w:lang w:val="lt-LT" w:eastAsia="lt-LT"/>
              </w:rPr>
              <w:t>Prekės originalus pavadinimas, gamintojas</w:t>
            </w:r>
          </w:p>
        </w:tc>
        <w:tc>
          <w:tcPr>
            <w:tcW w:w="1813" w:type="dxa"/>
            <w:vAlign w:val="center"/>
          </w:tcPr>
          <w:p w14:paraId="6A5D48C7" w14:textId="77777777" w:rsidR="004F459C" w:rsidRPr="00025463" w:rsidRDefault="004F459C" w:rsidP="00454FAD">
            <w:pPr>
              <w:jc w:val="both"/>
              <w:rPr>
                <w:b/>
                <w:sz w:val="22"/>
                <w:szCs w:val="22"/>
                <w:lang w:val="it-IT" w:eastAsia="lt-LT"/>
              </w:rPr>
            </w:pPr>
            <w:r w:rsidRPr="00025463">
              <w:rPr>
                <w:rFonts w:eastAsia="Times New Roman"/>
                <w:b/>
                <w:bCs/>
                <w:sz w:val="22"/>
                <w:szCs w:val="22"/>
                <w:bdr w:val="none" w:sz="0" w:space="0" w:color="auto"/>
                <w:lang w:val="lt-LT" w:eastAsia="lt-LT"/>
              </w:rPr>
              <w:t>Siūlomos prekės parametrai ir nuoroda į pateikto aprašymo ir/ar katalogo pavadinimą, numerį, puslapį, kuriame aprašomas prekės atitikimas keliamiems reikalavimams</w:t>
            </w:r>
          </w:p>
        </w:tc>
        <w:tc>
          <w:tcPr>
            <w:tcW w:w="851" w:type="dxa"/>
            <w:vAlign w:val="center"/>
          </w:tcPr>
          <w:p w14:paraId="17BDF148" w14:textId="77777777" w:rsidR="004F459C" w:rsidRPr="00025463" w:rsidRDefault="004F459C" w:rsidP="00454FAD">
            <w:pPr>
              <w:jc w:val="both"/>
              <w:rPr>
                <w:b/>
                <w:sz w:val="22"/>
                <w:szCs w:val="22"/>
              </w:rPr>
            </w:pPr>
            <w:r w:rsidRPr="00025463">
              <w:rPr>
                <w:b/>
                <w:sz w:val="22"/>
                <w:szCs w:val="22"/>
              </w:rPr>
              <w:t>PVM dydis</w:t>
            </w:r>
          </w:p>
        </w:tc>
        <w:tc>
          <w:tcPr>
            <w:tcW w:w="1386" w:type="dxa"/>
            <w:vAlign w:val="center"/>
          </w:tcPr>
          <w:p w14:paraId="6CDE1BB7" w14:textId="77777777" w:rsidR="004F459C" w:rsidRPr="00025463" w:rsidRDefault="004F459C" w:rsidP="00454FAD">
            <w:pPr>
              <w:jc w:val="both"/>
              <w:rPr>
                <w:b/>
                <w:sz w:val="22"/>
                <w:szCs w:val="22"/>
              </w:rPr>
            </w:pPr>
            <w:r w:rsidRPr="00025463">
              <w:rPr>
                <w:b/>
                <w:sz w:val="22"/>
                <w:szCs w:val="22"/>
              </w:rPr>
              <w:t>Vnt. įkainis, EUR be PVM</w:t>
            </w:r>
          </w:p>
        </w:tc>
        <w:tc>
          <w:tcPr>
            <w:tcW w:w="1307" w:type="dxa"/>
            <w:vAlign w:val="center"/>
          </w:tcPr>
          <w:p w14:paraId="1FDA1D0A" w14:textId="77777777" w:rsidR="004F459C" w:rsidRPr="00025463" w:rsidRDefault="004F459C" w:rsidP="00454FAD">
            <w:pPr>
              <w:jc w:val="both"/>
              <w:rPr>
                <w:b/>
                <w:sz w:val="22"/>
                <w:szCs w:val="22"/>
              </w:rPr>
            </w:pPr>
            <w:r w:rsidRPr="00025463">
              <w:rPr>
                <w:b/>
                <w:sz w:val="22"/>
                <w:szCs w:val="22"/>
              </w:rPr>
              <w:t>Vnt. įkainis, EUR su PVM</w:t>
            </w:r>
          </w:p>
        </w:tc>
        <w:tc>
          <w:tcPr>
            <w:tcW w:w="1525" w:type="dxa"/>
            <w:vAlign w:val="center"/>
          </w:tcPr>
          <w:p w14:paraId="0D98CF4B" w14:textId="77777777" w:rsidR="004F459C" w:rsidRPr="00025463" w:rsidRDefault="004F459C" w:rsidP="00454FAD">
            <w:pPr>
              <w:jc w:val="both"/>
              <w:rPr>
                <w:b/>
                <w:sz w:val="22"/>
                <w:szCs w:val="22"/>
              </w:rPr>
            </w:pPr>
            <w:r w:rsidRPr="00025463">
              <w:rPr>
                <w:b/>
                <w:sz w:val="22"/>
                <w:szCs w:val="22"/>
              </w:rPr>
              <w:t>Bendra (maksimali) suma Eur be PVM</w:t>
            </w:r>
          </w:p>
        </w:tc>
      </w:tr>
      <w:tr w:rsidR="004F459C" w:rsidRPr="00025463" w14:paraId="4B2CAF6D" w14:textId="77777777" w:rsidTr="00454FAD">
        <w:trPr>
          <w:trHeight w:val="161"/>
        </w:trPr>
        <w:tc>
          <w:tcPr>
            <w:tcW w:w="1130" w:type="dxa"/>
            <w:vAlign w:val="center"/>
          </w:tcPr>
          <w:p w14:paraId="70EECEDE" w14:textId="77777777" w:rsidR="004F459C" w:rsidRPr="00025463" w:rsidRDefault="004F459C" w:rsidP="00454FAD">
            <w:pPr>
              <w:jc w:val="center"/>
              <w:rPr>
                <w:b/>
                <w:bCs/>
                <w:sz w:val="22"/>
                <w:szCs w:val="22"/>
                <w:lang w:val="lt-LT" w:eastAsia="lt-LT"/>
              </w:rPr>
            </w:pPr>
            <w:r w:rsidRPr="00025463">
              <w:rPr>
                <w:b/>
                <w:bCs/>
                <w:sz w:val="22"/>
                <w:szCs w:val="22"/>
                <w:lang w:val="lt-LT" w:eastAsia="lt-LT"/>
              </w:rPr>
              <w:t>1</w:t>
            </w:r>
          </w:p>
        </w:tc>
        <w:tc>
          <w:tcPr>
            <w:tcW w:w="1848" w:type="dxa"/>
            <w:vAlign w:val="center"/>
          </w:tcPr>
          <w:p w14:paraId="1482FC0F" w14:textId="77777777" w:rsidR="004F459C" w:rsidRPr="00025463" w:rsidRDefault="004F459C" w:rsidP="00454FAD">
            <w:pPr>
              <w:jc w:val="center"/>
              <w:rPr>
                <w:b/>
                <w:bCs/>
                <w:sz w:val="22"/>
                <w:szCs w:val="22"/>
                <w:lang w:val="lt-LT" w:eastAsia="lt-LT"/>
              </w:rPr>
            </w:pPr>
            <w:r w:rsidRPr="00025463">
              <w:rPr>
                <w:b/>
                <w:bCs/>
                <w:sz w:val="22"/>
                <w:szCs w:val="22"/>
                <w:lang w:val="lt-LT" w:eastAsia="lt-LT"/>
              </w:rPr>
              <w:t>2</w:t>
            </w:r>
          </w:p>
        </w:tc>
        <w:tc>
          <w:tcPr>
            <w:tcW w:w="1984" w:type="dxa"/>
            <w:vAlign w:val="center"/>
          </w:tcPr>
          <w:p w14:paraId="000C8406" w14:textId="77777777" w:rsidR="004F459C" w:rsidRPr="00025463" w:rsidRDefault="004F459C" w:rsidP="00454FAD">
            <w:pPr>
              <w:jc w:val="center"/>
              <w:rPr>
                <w:b/>
                <w:bCs/>
                <w:sz w:val="22"/>
                <w:szCs w:val="22"/>
                <w:lang w:val="lt-LT" w:eastAsia="lt-LT"/>
              </w:rPr>
            </w:pPr>
            <w:r w:rsidRPr="00025463">
              <w:rPr>
                <w:b/>
                <w:bCs/>
                <w:sz w:val="22"/>
                <w:szCs w:val="22"/>
                <w:lang w:val="lt-LT" w:eastAsia="lt-LT"/>
              </w:rPr>
              <w:t>3</w:t>
            </w:r>
          </w:p>
        </w:tc>
        <w:tc>
          <w:tcPr>
            <w:tcW w:w="992" w:type="dxa"/>
            <w:vAlign w:val="center"/>
          </w:tcPr>
          <w:p w14:paraId="7B3192F9" w14:textId="77777777" w:rsidR="004F459C" w:rsidRPr="00025463" w:rsidRDefault="004F459C" w:rsidP="00454FAD">
            <w:pPr>
              <w:jc w:val="center"/>
              <w:rPr>
                <w:b/>
                <w:bCs/>
                <w:sz w:val="22"/>
                <w:szCs w:val="22"/>
                <w:lang w:val="lt-LT" w:eastAsia="lt-LT"/>
              </w:rPr>
            </w:pPr>
            <w:r w:rsidRPr="00025463">
              <w:rPr>
                <w:b/>
                <w:bCs/>
                <w:sz w:val="22"/>
                <w:szCs w:val="22"/>
                <w:lang w:val="lt-LT" w:eastAsia="lt-LT"/>
              </w:rPr>
              <w:t>4</w:t>
            </w:r>
          </w:p>
        </w:tc>
        <w:tc>
          <w:tcPr>
            <w:tcW w:w="1447" w:type="dxa"/>
            <w:vAlign w:val="center"/>
          </w:tcPr>
          <w:p w14:paraId="37E04E86" w14:textId="77777777" w:rsidR="004F459C" w:rsidRPr="00025463" w:rsidRDefault="004F459C" w:rsidP="00454FAD">
            <w:pPr>
              <w:jc w:val="center"/>
              <w:rPr>
                <w:b/>
                <w:bCs/>
                <w:sz w:val="22"/>
                <w:szCs w:val="22"/>
                <w:lang w:val="lt-LT" w:eastAsia="lt-LT"/>
              </w:rPr>
            </w:pPr>
            <w:r w:rsidRPr="00025463">
              <w:rPr>
                <w:b/>
                <w:bCs/>
                <w:sz w:val="22"/>
                <w:szCs w:val="22"/>
                <w:lang w:val="lt-LT" w:eastAsia="lt-LT"/>
              </w:rPr>
              <w:t>5</w:t>
            </w:r>
          </w:p>
        </w:tc>
        <w:tc>
          <w:tcPr>
            <w:tcW w:w="1984" w:type="dxa"/>
            <w:vAlign w:val="center"/>
          </w:tcPr>
          <w:p w14:paraId="333139BB" w14:textId="77777777" w:rsidR="004F459C" w:rsidRPr="00025463" w:rsidRDefault="004F459C" w:rsidP="00454FAD">
            <w:pPr>
              <w:jc w:val="center"/>
              <w:rPr>
                <w:b/>
                <w:bCs/>
                <w:sz w:val="22"/>
                <w:szCs w:val="22"/>
                <w:lang w:val="lt-LT" w:eastAsia="lt-LT"/>
              </w:rPr>
            </w:pPr>
          </w:p>
        </w:tc>
        <w:tc>
          <w:tcPr>
            <w:tcW w:w="1813" w:type="dxa"/>
            <w:vAlign w:val="center"/>
          </w:tcPr>
          <w:p w14:paraId="0280869E" w14:textId="77777777" w:rsidR="004F459C" w:rsidRPr="00025463" w:rsidRDefault="004F459C" w:rsidP="00454FAD">
            <w:pPr>
              <w:jc w:val="center"/>
              <w:rPr>
                <w:b/>
                <w:bCs/>
                <w:sz w:val="22"/>
                <w:szCs w:val="22"/>
                <w:lang w:val="lt-LT" w:eastAsia="lt-LT"/>
              </w:rPr>
            </w:pPr>
            <w:r w:rsidRPr="00025463">
              <w:rPr>
                <w:b/>
                <w:bCs/>
                <w:sz w:val="22"/>
                <w:szCs w:val="22"/>
                <w:lang w:val="lt-LT" w:eastAsia="lt-LT"/>
              </w:rPr>
              <w:t>6</w:t>
            </w:r>
          </w:p>
        </w:tc>
        <w:tc>
          <w:tcPr>
            <w:tcW w:w="851" w:type="dxa"/>
            <w:vAlign w:val="center"/>
          </w:tcPr>
          <w:p w14:paraId="17B8FA0C" w14:textId="77777777" w:rsidR="004F459C" w:rsidRPr="00025463" w:rsidRDefault="004F459C" w:rsidP="00454FAD">
            <w:pPr>
              <w:jc w:val="center"/>
              <w:rPr>
                <w:b/>
                <w:bCs/>
                <w:sz w:val="22"/>
                <w:szCs w:val="22"/>
                <w:lang w:val="lt-LT" w:eastAsia="lt-LT"/>
              </w:rPr>
            </w:pPr>
            <w:r w:rsidRPr="00025463">
              <w:rPr>
                <w:b/>
                <w:bCs/>
                <w:sz w:val="22"/>
                <w:szCs w:val="22"/>
                <w:lang w:val="lt-LT" w:eastAsia="lt-LT"/>
              </w:rPr>
              <w:t>7</w:t>
            </w:r>
          </w:p>
        </w:tc>
        <w:tc>
          <w:tcPr>
            <w:tcW w:w="1386" w:type="dxa"/>
            <w:vAlign w:val="center"/>
          </w:tcPr>
          <w:p w14:paraId="2E5D5D01" w14:textId="77777777" w:rsidR="004F459C" w:rsidRPr="00025463" w:rsidRDefault="004F459C" w:rsidP="00454FAD">
            <w:pPr>
              <w:jc w:val="center"/>
              <w:rPr>
                <w:b/>
                <w:bCs/>
                <w:sz w:val="22"/>
                <w:szCs w:val="22"/>
                <w:lang w:val="lt-LT" w:eastAsia="lt-LT"/>
              </w:rPr>
            </w:pPr>
            <w:r w:rsidRPr="00025463">
              <w:rPr>
                <w:b/>
                <w:bCs/>
                <w:sz w:val="22"/>
                <w:szCs w:val="22"/>
                <w:lang w:val="lt-LT" w:eastAsia="lt-LT"/>
              </w:rPr>
              <w:t>8</w:t>
            </w:r>
          </w:p>
        </w:tc>
        <w:tc>
          <w:tcPr>
            <w:tcW w:w="1307" w:type="dxa"/>
            <w:vAlign w:val="center"/>
          </w:tcPr>
          <w:p w14:paraId="4EC5B426" w14:textId="77777777" w:rsidR="004F459C" w:rsidRPr="00025463" w:rsidRDefault="004F459C" w:rsidP="00454FAD">
            <w:pPr>
              <w:jc w:val="center"/>
              <w:rPr>
                <w:b/>
                <w:bCs/>
                <w:sz w:val="22"/>
                <w:szCs w:val="22"/>
                <w:lang w:val="lt-LT" w:eastAsia="lt-LT"/>
              </w:rPr>
            </w:pPr>
          </w:p>
        </w:tc>
        <w:tc>
          <w:tcPr>
            <w:tcW w:w="1525" w:type="dxa"/>
            <w:vAlign w:val="center"/>
          </w:tcPr>
          <w:p w14:paraId="119CE5E8" w14:textId="77777777" w:rsidR="004F459C" w:rsidRPr="00025463" w:rsidRDefault="004F459C" w:rsidP="00454FAD">
            <w:pPr>
              <w:jc w:val="center"/>
              <w:rPr>
                <w:b/>
                <w:bCs/>
                <w:sz w:val="22"/>
                <w:szCs w:val="22"/>
                <w:lang w:val="lt-LT" w:eastAsia="lt-LT"/>
              </w:rPr>
            </w:pPr>
            <w:r w:rsidRPr="00025463">
              <w:rPr>
                <w:b/>
                <w:bCs/>
                <w:sz w:val="22"/>
                <w:szCs w:val="22"/>
                <w:lang w:val="lt-LT" w:eastAsia="lt-LT"/>
              </w:rPr>
              <w:t>9</w:t>
            </w:r>
          </w:p>
        </w:tc>
      </w:tr>
      <w:tr w:rsidR="004F459C" w:rsidRPr="00025463" w14:paraId="6210FFC7" w14:textId="77777777" w:rsidTr="00454FAD">
        <w:trPr>
          <w:trHeight w:val="70"/>
        </w:trPr>
        <w:tc>
          <w:tcPr>
            <w:tcW w:w="1130" w:type="dxa"/>
            <w:vAlign w:val="center"/>
          </w:tcPr>
          <w:p w14:paraId="0C52C0A4"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1.</w:t>
            </w:r>
          </w:p>
        </w:tc>
        <w:tc>
          <w:tcPr>
            <w:tcW w:w="1848" w:type="dxa"/>
            <w:vAlign w:val="center"/>
          </w:tcPr>
          <w:p w14:paraId="5DB51776"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Kablys</w:t>
            </w:r>
          </w:p>
        </w:tc>
        <w:tc>
          <w:tcPr>
            <w:tcW w:w="1984" w:type="dxa"/>
            <w:vAlign w:val="center"/>
          </w:tcPr>
          <w:p w14:paraId="0751F970"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 xml:space="preserve">Farabeuf*, porinis instrumentas, mažesnių kablių </w:t>
            </w:r>
            <w:r w:rsidRPr="00A94D01">
              <w:rPr>
                <w:rFonts w:eastAsia="Times New Roman"/>
                <w:color w:val="000000"/>
                <w:bdr w:val="none" w:sz="0" w:space="0" w:color="auto"/>
                <w:lang w:val="lt-LT" w:eastAsia="lt-LT"/>
              </w:rPr>
              <w:lastRenderedPageBreak/>
              <w:t>išmatavimai (gylis x plotis): (23x16)±0,5 mm ir (20x16)±0,5 mm, didesnių kablių išmatavimai (gylis x plotis): (24x16)±0,5 mm ir (28x16)±0,5 mm, bendras ilgis 150±3 mm</w:t>
            </w:r>
          </w:p>
        </w:tc>
        <w:tc>
          <w:tcPr>
            <w:tcW w:w="992" w:type="dxa"/>
            <w:vAlign w:val="center"/>
          </w:tcPr>
          <w:p w14:paraId="6EDB02EB"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lastRenderedPageBreak/>
              <w:t>vnt.</w:t>
            </w:r>
          </w:p>
        </w:tc>
        <w:tc>
          <w:tcPr>
            <w:tcW w:w="1447" w:type="dxa"/>
            <w:vAlign w:val="center"/>
          </w:tcPr>
          <w:p w14:paraId="630BEB47"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5B4DF103" w14:textId="44F045E5" w:rsidR="004F459C" w:rsidRPr="00025463" w:rsidRDefault="004F459C" w:rsidP="00454FAD">
            <w:pPr>
              <w:jc w:val="both"/>
              <w:rPr>
                <w:sz w:val="22"/>
                <w:szCs w:val="22"/>
              </w:rPr>
            </w:pPr>
          </w:p>
        </w:tc>
        <w:tc>
          <w:tcPr>
            <w:tcW w:w="1813" w:type="dxa"/>
            <w:vAlign w:val="center"/>
          </w:tcPr>
          <w:p w14:paraId="7388E454" w14:textId="37D01632" w:rsidR="004F459C" w:rsidRPr="00025463" w:rsidRDefault="004F459C" w:rsidP="00454FAD">
            <w:pPr>
              <w:jc w:val="both"/>
              <w:rPr>
                <w:sz w:val="22"/>
                <w:szCs w:val="22"/>
              </w:rPr>
            </w:pPr>
          </w:p>
        </w:tc>
        <w:tc>
          <w:tcPr>
            <w:tcW w:w="851" w:type="dxa"/>
            <w:vAlign w:val="center"/>
          </w:tcPr>
          <w:p w14:paraId="65AC51EA" w14:textId="0F908F24" w:rsidR="004F459C" w:rsidRPr="00025463" w:rsidRDefault="004F459C" w:rsidP="00454FAD">
            <w:pPr>
              <w:jc w:val="both"/>
              <w:rPr>
                <w:sz w:val="22"/>
                <w:szCs w:val="22"/>
              </w:rPr>
            </w:pPr>
          </w:p>
        </w:tc>
        <w:tc>
          <w:tcPr>
            <w:tcW w:w="1386" w:type="dxa"/>
            <w:vAlign w:val="center"/>
          </w:tcPr>
          <w:p w14:paraId="1ECF7153" w14:textId="2B7A580C" w:rsidR="004F459C" w:rsidRPr="00025463" w:rsidRDefault="004F459C" w:rsidP="00454FAD">
            <w:pPr>
              <w:jc w:val="both"/>
              <w:rPr>
                <w:sz w:val="22"/>
                <w:szCs w:val="22"/>
              </w:rPr>
            </w:pPr>
          </w:p>
        </w:tc>
        <w:tc>
          <w:tcPr>
            <w:tcW w:w="1307" w:type="dxa"/>
            <w:vAlign w:val="center"/>
          </w:tcPr>
          <w:p w14:paraId="173B4589" w14:textId="373FF3D7" w:rsidR="004F459C" w:rsidRPr="00025463" w:rsidRDefault="004F459C" w:rsidP="00454FAD">
            <w:pPr>
              <w:jc w:val="both"/>
              <w:rPr>
                <w:sz w:val="22"/>
                <w:szCs w:val="22"/>
              </w:rPr>
            </w:pPr>
          </w:p>
        </w:tc>
        <w:tc>
          <w:tcPr>
            <w:tcW w:w="1525" w:type="dxa"/>
            <w:vAlign w:val="center"/>
          </w:tcPr>
          <w:p w14:paraId="57E75E14" w14:textId="473E2C8D" w:rsidR="004F459C" w:rsidRPr="00025463" w:rsidRDefault="004F459C" w:rsidP="00454FAD">
            <w:pPr>
              <w:jc w:val="both"/>
              <w:rPr>
                <w:sz w:val="22"/>
                <w:szCs w:val="22"/>
              </w:rPr>
            </w:pPr>
          </w:p>
        </w:tc>
      </w:tr>
      <w:tr w:rsidR="004F459C" w:rsidRPr="00025463" w14:paraId="2CBF20F4" w14:textId="77777777" w:rsidTr="00454FAD">
        <w:trPr>
          <w:trHeight w:val="70"/>
        </w:trPr>
        <w:tc>
          <w:tcPr>
            <w:tcW w:w="14742" w:type="dxa"/>
            <w:gridSpan w:val="10"/>
            <w:vAlign w:val="center"/>
          </w:tcPr>
          <w:p w14:paraId="41315F51" w14:textId="77777777" w:rsidR="004F459C" w:rsidRPr="00025463" w:rsidRDefault="004F459C" w:rsidP="00454FAD">
            <w:pPr>
              <w:jc w:val="right"/>
              <w:rPr>
                <w:rFonts w:eastAsia="Times New Roman"/>
                <w:color w:val="000000"/>
                <w:sz w:val="22"/>
                <w:szCs w:val="22"/>
                <w:lang w:eastAsia="lt-LT"/>
              </w:rPr>
            </w:pPr>
            <w:r w:rsidRPr="00025463">
              <w:rPr>
                <w:b/>
                <w:bCs/>
                <w:sz w:val="22"/>
                <w:szCs w:val="22"/>
                <w:lang w:val="lt-LT" w:eastAsia="lt-LT"/>
              </w:rPr>
              <w:t>Bendra pradinė vertė 1-ai pirkimo daliai EUR be PVM</w:t>
            </w:r>
          </w:p>
        </w:tc>
        <w:tc>
          <w:tcPr>
            <w:tcW w:w="1525" w:type="dxa"/>
            <w:vAlign w:val="center"/>
          </w:tcPr>
          <w:p w14:paraId="1E228117" w14:textId="50B631D7" w:rsidR="004F459C" w:rsidRPr="006B2BED" w:rsidRDefault="004F459C" w:rsidP="00454FAD">
            <w:pPr>
              <w:rPr>
                <w:rFonts w:eastAsia="Times New Roman"/>
                <w:b/>
                <w:bCs/>
                <w:color w:val="000000"/>
                <w:sz w:val="22"/>
                <w:szCs w:val="22"/>
                <w:lang w:eastAsia="lt-LT"/>
              </w:rPr>
            </w:pPr>
          </w:p>
        </w:tc>
      </w:tr>
      <w:tr w:rsidR="004F459C" w:rsidRPr="00025463" w14:paraId="6F83A345" w14:textId="77777777" w:rsidTr="00454FAD">
        <w:trPr>
          <w:trHeight w:val="74"/>
        </w:trPr>
        <w:tc>
          <w:tcPr>
            <w:tcW w:w="14742" w:type="dxa"/>
            <w:gridSpan w:val="10"/>
            <w:vAlign w:val="center"/>
          </w:tcPr>
          <w:p w14:paraId="3B600310" w14:textId="77777777" w:rsidR="004F459C" w:rsidRPr="00025463" w:rsidRDefault="004F459C" w:rsidP="00454FAD">
            <w:pPr>
              <w:jc w:val="right"/>
              <w:rPr>
                <w:rFonts w:eastAsia="Times New Roman"/>
                <w:color w:val="000000"/>
                <w:sz w:val="22"/>
                <w:szCs w:val="22"/>
                <w:lang w:eastAsia="lt-LT"/>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xml:space="preserve"> %) suma</w:t>
            </w:r>
          </w:p>
        </w:tc>
        <w:tc>
          <w:tcPr>
            <w:tcW w:w="1525" w:type="dxa"/>
            <w:vAlign w:val="center"/>
          </w:tcPr>
          <w:p w14:paraId="6D624F28" w14:textId="78A2E22A" w:rsidR="004F459C" w:rsidRPr="006B2BED" w:rsidRDefault="004F459C" w:rsidP="00454FAD">
            <w:pPr>
              <w:rPr>
                <w:rFonts w:eastAsia="Times New Roman"/>
                <w:b/>
                <w:bCs/>
                <w:color w:val="000000"/>
                <w:sz w:val="22"/>
                <w:szCs w:val="22"/>
                <w:lang w:eastAsia="lt-LT"/>
              </w:rPr>
            </w:pPr>
          </w:p>
        </w:tc>
      </w:tr>
      <w:tr w:rsidR="004F459C" w:rsidRPr="00025463" w14:paraId="1495D0CB" w14:textId="77777777" w:rsidTr="00454FAD">
        <w:trPr>
          <w:trHeight w:val="70"/>
        </w:trPr>
        <w:tc>
          <w:tcPr>
            <w:tcW w:w="14742" w:type="dxa"/>
            <w:gridSpan w:val="10"/>
            <w:vAlign w:val="center"/>
          </w:tcPr>
          <w:p w14:paraId="281B8415" w14:textId="77777777" w:rsidR="004F459C" w:rsidRPr="00025463" w:rsidRDefault="004F459C" w:rsidP="00454FAD">
            <w:pPr>
              <w:jc w:val="right"/>
              <w:rPr>
                <w:rFonts w:eastAsia="Times New Roman"/>
                <w:color w:val="000000"/>
                <w:sz w:val="22"/>
                <w:szCs w:val="22"/>
                <w:lang w:eastAsia="lt-LT"/>
              </w:rPr>
            </w:pPr>
            <w:r w:rsidRPr="00025463">
              <w:rPr>
                <w:b/>
                <w:bCs/>
                <w:sz w:val="22"/>
                <w:szCs w:val="22"/>
                <w:lang w:val="lt-LT" w:eastAsia="lt-LT"/>
              </w:rPr>
              <w:t>Sutarties kaina 1-ai pirkimo daliai EUR su PVM</w:t>
            </w:r>
          </w:p>
        </w:tc>
        <w:tc>
          <w:tcPr>
            <w:tcW w:w="1525" w:type="dxa"/>
            <w:vAlign w:val="center"/>
          </w:tcPr>
          <w:p w14:paraId="42A6D067" w14:textId="1BCB5607" w:rsidR="004F459C" w:rsidRPr="006B2BED" w:rsidRDefault="004F459C" w:rsidP="00454FAD">
            <w:pPr>
              <w:rPr>
                <w:rFonts w:eastAsia="Times New Roman"/>
                <w:b/>
                <w:bCs/>
                <w:color w:val="000000"/>
                <w:sz w:val="22"/>
                <w:szCs w:val="22"/>
                <w:lang w:eastAsia="lt-LT"/>
              </w:rPr>
            </w:pPr>
          </w:p>
        </w:tc>
      </w:tr>
      <w:tr w:rsidR="004F459C" w:rsidRPr="00025463" w14:paraId="1DB6BCC0" w14:textId="77777777" w:rsidTr="00454FAD">
        <w:trPr>
          <w:trHeight w:val="70"/>
        </w:trPr>
        <w:tc>
          <w:tcPr>
            <w:tcW w:w="1130" w:type="dxa"/>
            <w:vAlign w:val="center"/>
          </w:tcPr>
          <w:p w14:paraId="5277B943"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2.</w:t>
            </w:r>
          </w:p>
        </w:tc>
        <w:tc>
          <w:tcPr>
            <w:tcW w:w="1848" w:type="dxa"/>
            <w:vAlign w:val="center"/>
          </w:tcPr>
          <w:p w14:paraId="560B1E0C" w14:textId="77777777" w:rsidR="004F459C" w:rsidRPr="00025463" w:rsidRDefault="004F459C" w:rsidP="00454FAD">
            <w:pPr>
              <w:rPr>
                <w:rFonts w:eastAsia="Times New Roman"/>
                <w:sz w:val="22"/>
                <w:szCs w:val="22"/>
                <w:bdr w:val="none" w:sz="0" w:space="0" w:color="auto"/>
                <w:lang w:val="lt-LT" w:eastAsia="lt-LT"/>
              </w:rPr>
            </w:pPr>
            <w:r w:rsidRPr="00A94D01">
              <w:rPr>
                <w:rFonts w:eastAsia="Times New Roman"/>
                <w:color w:val="000000"/>
                <w:bdr w:val="none" w:sz="0" w:space="0" w:color="auto"/>
                <w:lang w:val="lt-LT" w:eastAsia="lt-LT"/>
              </w:rPr>
              <w:t>Kablys</w:t>
            </w:r>
          </w:p>
        </w:tc>
        <w:tc>
          <w:tcPr>
            <w:tcW w:w="1984" w:type="dxa"/>
            <w:vAlign w:val="center"/>
          </w:tcPr>
          <w:p w14:paraId="038CA2FB" w14:textId="77777777" w:rsidR="004F459C" w:rsidRPr="00025463" w:rsidRDefault="004F459C" w:rsidP="00454FAD">
            <w:pPr>
              <w:rPr>
                <w:rFonts w:eastAsia="Times New Roman"/>
                <w:color w:val="000000"/>
                <w:sz w:val="22"/>
                <w:szCs w:val="22"/>
                <w:lang w:val="lt-LT" w:eastAsia="lt-LT"/>
              </w:rPr>
            </w:pPr>
            <w:r w:rsidRPr="00A94D01">
              <w:rPr>
                <w:rFonts w:eastAsia="Times New Roman"/>
                <w:color w:val="000000"/>
                <w:bdr w:val="none" w:sz="0" w:space="0" w:color="auto"/>
                <w:lang w:val="lt-LT" w:eastAsia="lt-LT"/>
              </w:rPr>
              <w:t>Kocher-Langenbeck*, išmatavimai (gylis x plotis): (25x6)±0,5 mm, bendras ilgis 215±3 mm</w:t>
            </w:r>
          </w:p>
        </w:tc>
        <w:tc>
          <w:tcPr>
            <w:tcW w:w="992" w:type="dxa"/>
            <w:vAlign w:val="center"/>
          </w:tcPr>
          <w:p w14:paraId="45552AE2"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6F5B06AD"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121C0E3E" w14:textId="712D5E77" w:rsidR="004F459C" w:rsidRPr="00025463" w:rsidRDefault="004F459C" w:rsidP="00454FAD">
            <w:pPr>
              <w:jc w:val="both"/>
              <w:rPr>
                <w:sz w:val="22"/>
                <w:szCs w:val="22"/>
              </w:rPr>
            </w:pPr>
          </w:p>
        </w:tc>
        <w:tc>
          <w:tcPr>
            <w:tcW w:w="1813" w:type="dxa"/>
            <w:vAlign w:val="center"/>
          </w:tcPr>
          <w:p w14:paraId="6AD8C336" w14:textId="0776BC95" w:rsidR="004F459C" w:rsidRPr="006B2BED" w:rsidRDefault="004F459C" w:rsidP="00454FAD">
            <w:pPr>
              <w:rPr>
                <w:sz w:val="22"/>
                <w:szCs w:val="22"/>
              </w:rPr>
            </w:pPr>
          </w:p>
        </w:tc>
        <w:tc>
          <w:tcPr>
            <w:tcW w:w="851" w:type="dxa"/>
            <w:vAlign w:val="center"/>
          </w:tcPr>
          <w:p w14:paraId="18C5DB0B" w14:textId="1CCD34FE" w:rsidR="004F459C" w:rsidRPr="00025463" w:rsidRDefault="004F459C" w:rsidP="00454FAD">
            <w:pPr>
              <w:jc w:val="both"/>
              <w:rPr>
                <w:sz w:val="22"/>
                <w:szCs w:val="22"/>
              </w:rPr>
            </w:pPr>
          </w:p>
        </w:tc>
        <w:tc>
          <w:tcPr>
            <w:tcW w:w="1386" w:type="dxa"/>
            <w:vAlign w:val="center"/>
          </w:tcPr>
          <w:p w14:paraId="7970E22D" w14:textId="529442A2" w:rsidR="004F459C" w:rsidRPr="00025463" w:rsidRDefault="004F459C" w:rsidP="00454FAD">
            <w:pPr>
              <w:jc w:val="both"/>
              <w:rPr>
                <w:sz w:val="22"/>
                <w:szCs w:val="22"/>
              </w:rPr>
            </w:pPr>
          </w:p>
        </w:tc>
        <w:tc>
          <w:tcPr>
            <w:tcW w:w="1307" w:type="dxa"/>
            <w:vAlign w:val="center"/>
          </w:tcPr>
          <w:p w14:paraId="7AA1C67D" w14:textId="24D676B2" w:rsidR="004F459C" w:rsidRPr="00025463" w:rsidRDefault="004F459C" w:rsidP="00454FAD">
            <w:pPr>
              <w:jc w:val="both"/>
              <w:rPr>
                <w:sz w:val="22"/>
                <w:szCs w:val="22"/>
              </w:rPr>
            </w:pPr>
          </w:p>
        </w:tc>
        <w:tc>
          <w:tcPr>
            <w:tcW w:w="1525" w:type="dxa"/>
            <w:vAlign w:val="center"/>
          </w:tcPr>
          <w:p w14:paraId="2B48AA37" w14:textId="2AA55C66" w:rsidR="004F459C" w:rsidRPr="00025463" w:rsidRDefault="004F459C" w:rsidP="00454FAD">
            <w:pPr>
              <w:jc w:val="both"/>
              <w:rPr>
                <w:sz w:val="22"/>
                <w:szCs w:val="22"/>
              </w:rPr>
            </w:pPr>
          </w:p>
        </w:tc>
      </w:tr>
      <w:tr w:rsidR="004F459C" w:rsidRPr="00025463" w14:paraId="2557FE08" w14:textId="77777777" w:rsidTr="00454FAD">
        <w:trPr>
          <w:trHeight w:val="70"/>
        </w:trPr>
        <w:tc>
          <w:tcPr>
            <w:tcW w:w="14742" w:type="dxa"/>
            <w:gridSpan w:val="10"/>
            <w:vAlign w:val="center"/>
          </w:tcPr>
          <w:p w14:paraId="0673D125" w14:textId="06AB9ACC" w:rsidR="004F459C" w:rsidRPr="00025463" w:rsidRDefault="004F459C" w:rsidP="00454FAD">
            <w:pPr>
              <w:jc w:val="right"/>
              <w:rPr>
                <w:sz w:val="22"/>
                <w:szCs w:val="22"/>
              </w:rPr>
            </w:pPr>
          </w:p>
        </w:tc>
        <w:tc>
          <w:tcPr>
            <w:tcW w:w="1525" w:type="dxa"/>
            <w:vAlign w:val="center"/>
          </w:tcPr>
          <w:p w14:paraId="242B1F2E" w14:textId="748E003A" w:rsidR="004F459C" w:rsidRPr="006B2BED" w:rsidRDefault="004F459C" w:rsidP="00454FAD">
            <w:pPr>
              <w:jc w:val="both"/>
              <w:rPr>
                <w:b/>
                <w:bCs/>
                <w:sz w:val="22"/>
                <w:szCs w:val="22"/>
              </w:rPr>
            </w:pPr>
          </w:p>
        </w:tc>
      </w:tr>
      <w:tr w:rsidR="004F459C" w:rsidRPr="00025463" w14:paraId="1A4FB1D4" w14:textId="77777777" w:rsidTr="00454FAD">
        <w:trPr>
          <w:trHeight w:val="70"/>
        </w:trPr>
        <w:tc>
          <w:tcPr>
            <w:tcW w:w="14742" w:type="dxa"/>
            <w:gridSpan w:val="10"/>
            <w:vAlign w:val="center"/>
          </w:tcPr>
          <w:p w14:paraId="3BB935F9" w14:textId="3B3C3382" w:rsidR="004F459C" w:rsidRPr="00025463" w:rsidRDefault="004F459C" w:rsidP="00454FAD">
            <w:pPr>
              <w:jc w:val="right"/>
              <w:rPr>
                <w:sz w:val="22"/>
                <w:szCs w:val="22"/>
              </w:rPr>
            </w:pPr>
          </w:p>
        </w:tc>
        <w:tc>
          <w:tcPr>
            <w:tcW w:w="1525" w:type="dxa"/>
            <w:vAlign w:val="center"/>
          </w:tcPr>
          <w:p w14:paraId="4B586CB8" w14:textId="005E42FA" w:rsidR="004F459C" w:rsidRPr="006B2BED" w:rsidRDefault="004F459C" w:rsidP="00454FAD">
            <w:pPr>
              <w:jc w:val="both"/>
              <w:rPr>
                <w:b/>
                <w:bCs/>
                <w:sz w:val="22"/>
                <w:szCs w:val="22"/>
              </w:rPr>
            </w:pPr>
          </w:p>
        </w:tc>
      </w:tr>
      <w:tr w:rsidR="004F459C" w:rsidRPr="00025463" w14:paraId="641F77D4" w14:textId="77777777" w:rsidTr="00454FAD">
        <w:trPr>
          <w:trHeight w:val="70"/>
        </w:trPr>
        <w:tc>
          <w:tcPr>
            <w:tcW w:w="14742" w:type="dxa"/>
            <w:gridSpan w:val="10"/>
            <w:vAlign w:val="center"/>
          </w:tcPr>
          <w:p w14:paraId="7E65C377" w14:textId="41632EBD" w:rsidR="004F459C" w:rsidRPr="00025463" w:rsidRDefault="004F459C" w:rsidP="00454FAD">
            <w:pPr>
              <w:jc w:val="right"/>
              <w:rPr>
                <w:sz w:val="22"/>
                <w:szCs w:val="22"/>
              </w:rPr>
            </w:pPr>
          </w:p>
        </w:tc>
        <w:tc>
          <w:tcPr>
            <w:tcW w:w="1525" w:type="dxa"/>
            <w:vAlign w:val="center"/>
          </w:tcPr>
          <w:p w14:paraId="2108A7F0" w14:textId="0F90CF08" w:rsidR="004F459C" w:rsidRPr="006B2BED" w:rsidRDefault="004F459C" w:rsidP="00454FAD">
            <w:pPr>
              <w:jc w:val="both"/>
              <w:rPr>
                <w:b/>
                <w:bCs/>
                <w:sz w:val="22"/>
                <w:szCs w:val="22"/>
              </w:rPr>
            </w:pPr>
          </w:p>
        </w:tc>
      </w:tr>
      <w:tr w:rsidR="004F459C" w:rsidRPr="00025463" w14:paraId="3803EA77" w14:textId="77777777" w:rsidTr="00454FAD">
        <w:trPr>
          <w:trHeight w:val="70"/>
        </w:trPr>
        <w:tc>
          <w:tcPr>
            <w:tcW w:w="1130" w:type="dxa"/>
            <w:vAlign w:val="center"/>
          </w:tcPr>
          <w:p w14:paraId="2644F175"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2"/>
                <w:szCs w:val="22"/>
                <w:bdr w:val="none" w:sz="0" w:space="0" w:color="auto"/>
                <w:lang w:val="lt-LT" w:eastAsia="lt-LT"/>
              </w:rPr>
            </w:pPr>
            <w:r w:rsidRPr="00025463">
              <w:rPr>
                <w:rFonts w:eastAsia="Times New Roman"/>
                <w:sz w:val="22"/>
                <w:szCs w:val="22"/>
                <w:bdr w:val="none" w:sz="0" w:space="0" w:color="auto"/>
                <w:lang w:val="lt-LT" w:eastAsia="lt-LT"/>
              </w:rPr>
              <w:t>3.</w:t>
            </w:r>
          </w:p>
        </w:tc>
        <w:tc>
          <w:tcPr>
            <w:tcW w:w="1848" w:type="dxa"/>
            <w:vAlign w:val="center"/>
          </w:tcPr>
          <w:p w14:paraId="3DEFEF7E"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Kablys</w:t>
            </w:r>
          </w:p>
        </w:tc>
        <w:tc>
          <w:tcPr>
            <w:tcW w:w="1984" w:type="dxa"/>
            <w:vAlign w:val="center"/>
          </w:tcPr>
          <w:p w14:paraId="38C39462"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Kocher-Langenbeck*, išmatavimai (gylis x plotis): (35x8)±0,5 mm, bendras ilgis 215±3 mm</w:t>
            </w:r>
          </w:p>
        </w:tc>
        <w:tc>
          <w:tcPr>
            <w:tcW w:w="992" w:type="dxa"/>
            <w:vAlign w:val="center"/>
          </w:tcPr>
          <w:p w14:paraId="422044C0"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6AFA48B9"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1EC4CC48" w14:textId="4F6A78BA" w:rsidR="004F459C" w:rsidRPr="00025463" w:rsidRDefault="004F459C" w:rsidP="00454FAD">
            <w:pPr>
              <w:jc w:val="both"/>
              <w:rPr>
                <w:sz w:val="22"/>
                <w:szCs w:val="22"/>
              </w:rPr>
            </w:pPr>
          </w:p>
        </w:tc>
        <w:tc>
          <w:tcPr>
            <w:tcW w:w="1813" w:type="dxa"/>
            <w:vAlign w:val="center"/>
          </w:tcPr>
          <w:p w14:paraId="1382E2F8" w14:textId="6935C8EF" w:rsidR="004F459C" w:rsidRPr="00C31500" w:rsidRDefault="004F459C" w:rsidP="00454FAD">
            <w:pPr>
              <w:rPr>
                <w:sz w:val="22"/>
                <w:szCs w:val="22"/>
              </w:rPr>
            </w:pPr>
          </w:p>
        </w:tc>
        <w:tc>
          <w:tcPr>
            <w:tcW w:w="851" w:type="dxa"/>
            <w:vAlign w:val="center"/>
          </w:tcPr>
          <w:p w14:paraId="1F49F2DA" w14:textId="4FC239F2" w:rsidR="004F459C" w:rsidRPr="00025463" w:rsidRDefault="004F459C" w:rsidP="00454FAD">
            <w:pPr>
              <w:jc w:val="both"/>
              <w:rPr>
                <w:sz w:val="22"/>
                <w:szCs w:val="22"/>
              </w:rPr>
            </w:pPr>
          </w:p>
        </w:tc>
        <w:tc>
          <w:tcPr>
            <w:tcW w:w="1386" w:type="dxa"/>
            <w:vAlign w:val="center"/>
          </w:tcPr>
          <w:p w14:paraId="72F655DB" w14:textId="38AC944E" w:rsidR="004F459C" w:rsidRPr="00025463" w:rsidRDefault="004F459C" w:rsidP="00454FAD">
            <w:pPr>
              <w:jc w:val="both"/>
              <w:rPr>
                <w:sz w:val="22"/>
                <w:szCs w:val="22"/>
              </w:rPr>
            </w:pPr>
          </w:p>
        </w:tc>
        <w:tc>
          <w:tcPr>
            <w:tcW w:w="1307" w:type="dxa"/>
            <w:vAlign w:val="center"/>
          </w:tcPr>
          <w:p w14:paraId="6F48A964" w14:textId="74E2B7A8" w:rsidR="004F459C" w:rsidRPr="00025463" w:rsidRDefault="004F459C" w:rsidP="00454FAD">
            <w:pPr>
              <w:jc w:val="both"/>
              <w:rPr>
                <w:sz w:val="22"/>
                <w:szCs w:val="22"/>
              </w:rPr>
            </w:pPr>
          </w:p>
        </w:tc>
        <w:tc>
          <w:tcPr>
            <w:tcW w:w="1525" w:type="dxa"/>
            <w:vAlign w:val="center"/>
          </w:tcPr>
          <w:p w14:paraId="519764D4" w14:textId="1504D16B" w:rsidR="004F459C" w:rsidRPr="00025463" w:rsidRDefault="004F459C" w:rsidP="00454FAD">
            <w:pPr>
              <w:jc w:val="both"/>
              <w:rPr>
                <w:sz w:val="22"/>
                <w:szCs w:val="22"/>
              </w:rPr>
            </w:pPr>
          </w:p>
        </w:tc>
      </w:tr>
      <w:tr w:rsidR="004F459C" w:rsidRPr="00025463" w14:paraId="5CC57729" w14:textId="77777777" w:rsidTr="00454FAD">
        <w:trPr>
          <w:trHeight w:val="70"/>
        </w:trPr>
        <w:tc>
          <w:tcPr>
            <w:tcW w:w="13435" w:type="dxa"/>
            <w:gridSpan w:val="9"/>
            <w:vAlign w:val="center"/>
          </w:tcPr>
          <w:p w14:paraId="09469BB8" w14:textId="01E716D0" w:rsidR="004F459C" w:rsidRPr="00025463" w:rsidRDefault="004F459C" w:rsidP="00454FAD">
            <w:pPr>
              <w:jc w:val="right"/>
              <w:rPr>
                <w:sz w:val="22"/>
                <w:szCs w:val="22"/>
              </w:rPr>
            </w:pPr>
          </w:p>
        </w:tc>
        <w:tc>
          <w:tcPr>
            <w:tcW w:w="1307" w:type="dxa"/>
            <w:vAlign w:val="center"/>
          </w:tcPr>
          <w:p w14:paraId="74D09611" w14:textId="77777777" w:rsidR="004F459C" w:rsidRPr="00025463" w:rsidRDefault="004F459C" w:rsidP="00454FAD">
            <w:pPr>
              <w:jc w:val="both"/>
              <w:rPr>
                <w:sz w:val="22"/>
                <w:szCs w:val="22"/>
              </w:rPr>
            </w:pPr>
          </w:p>
        </w:tc>
        <w:tc>
          <w:tcPr>
            <w:tcW w:w="1525" w:type="dxa"/>
            <w:vAlign w:val="center"/>
          </w:tcPr>
          <w:p w14:paraId="0119FB2C" w14:textId="42A653BB" w:rsidR="004F459C" w:rsidRPr="00C31500" w:rsidRDefault="004F459C" w:rsidP="00454FAD">
            <w:pPr>
              <w:jc w:val="both"/>
              <w:rPr>
                <w:b/>
                <w:bCs/>
                <w:sz w:val="22"/>
                <w:szCs w:val="22"/>
              </w:rPr>
            </w:pPr>
          </w:p>
        </w:tc>
      </w:tr>
      <w:tr w:rsidR="004F459C" w:rsidRPr="00025463" w14:paraId="30030812" w14:textId="77777777" w:rsidTr="00454FAD">
        <w:trPr>
          <w:trHeight w:val="70"/>
        </w:trPr>
        <w:tc>
          <w:tcPr>
            <w:tcW w:w="13435" w:type="dxa"/>
            <w:gridSpan w:val="9"/>
            <w:vAlign w:val="center"/>
          </w:tcPr>
          <w:p w14:paraId="1E79583C" w14:textId="7ECF90EF" w:rsidR="004F459C" w:rsidRPr="00025463" w:rsidRDefault="004F459C" w:rsidP="00454FAD">
            <w:pPr>
              <w:jc w:val="right"/>
              <w:rPr>
                <w:sz w:val="22"/>
                <w:szCs w:val="22"/>
              </w:rPr>
            </w:pPr>
          </w:p>
        </w:tc>
        <w:tc>
          <w:tcPr>
            <w:tcW w:w="1307" w:type="dxa"/>
            <w:vAlign w:val="center"/>
          </w:tcPr>
          <w:p w14:paraId="303AA9CC" w14:textId="77777777" w:rsidR="004F459C" w:rsidRPr="00025463" w:rsidRDefault="004F459C" w:rsidP="00454FAD">
            <w:pPr>
              <w:jc w:val="both"/>
              <w:rPr>
                <w:sz w:val="22"/>
                <w:szCs w:val="22"/>
              </w:rPr>
            </w:pPr>
          </w:p>
        </w:tc>
        <w:tc>
          <w:tcPr>
            <w:tcW w:w="1525" w:type="dxa"/>
            <w:vAlign w:val="center"/>
          </w:tcPr>
          <w:p w14:paraId="5590D332" w14:textId="1962CFEE" w:rsidR="004F459C" w:rsidRPr="00C31500" w:rsidRDefault="004F459C" w:rsidP="00454FAD">
            <w:pPr>
              <w:jc w:val="both"/>
              <w:rPr>
                <w:b/>
                <w:bCs/>
                <w:sz w:val="22"/>
                <w:szCs w:val="22"/>
              </w:rPr>
            </w:pPr>
          </w:p>
        </w:tc>
      </w:tr>
      <w:tr w:rsidR="004F459C" w:rsidRPr="00025463" w14:paraId="220B70E8" w14:textId="77777777" w:rsidTr="00454FAD">
        <w:trPr>
          <w:trHeight w:val="70"/>
        </w:trPr>
        <w:tc>
          <w:tcPr>
            <w:tcW w:w="13435" w:type="dxa"/>
            <w:gridSpan w:val="9"/>
            <w:vAlign w:val="center"/>
          </w:tcPr>
          <w:p w14:paraId="7F596B62" w14:textId="7B5101AE" w:rsidR="004F459C" w:rsidRPr="00025463" w:rsidRDefault="004F459C" w:rsidP="00454FAD">
            <w:pPr>
              <w:jc w:val="right"/>
              <w:rPr>
                <w:sz w:val="22"/>
                <w:szCs w:val="22"/>
              </w:rPr>
            </w:pPr>
          </w:p>
        </w:tc>
        <w:tc>
          <w:tcPr>
            <w:tcW w:w="1307" w:type="dxa"/>
            <w:vAlign w:val="center"/>
          </w:tcPr>
          <w:p w14:paraId="24798E6E" w14:textId="77777777" w:rsidR="004F459C" w:rsidRPr="00025463" w:rsidRDefault="004F459C" w:rsidP="00454FAD">
            <w:pPr>
              <w:jc w:val="both"/>
              <w:rPr>
                <w:sz w:val="22"/>
                <w:szCs w:val="22"/>
              </w:rPr>
            </w:pPr>
          </w:p>
        </w:tc>
        <w:tc>
          <w:tcPr>
            <w:tcW w:w="1525" w:type="dxa"/>
            <w:vAlign w:val="center"/>
          </w:tcPr>
          <w:p w14:paraId="6659E74D" w14:textId="7BF82FDC" w:rsidR="004F459C" w:rsidRPr="00C31500" w:rsidRDefault="004F459C" w:rsidP="00454FAD">
            <w:pPr>
              <w:jc w:val="both"/>
              <w:rPr>
                <w:b/>
                <w:bCs/>
                <w:sz w:val="22"/>
                <w:szCs w:val="22"/>
              </w:rPr>
            </w:pPr>
          </w:p>
        </w:tc>
      </w:tr>
      <w:tr w:rsidR="004F459C" w:rsidRPr="00025463" w14:paraId="4B6B3619" w14:textId="77777777" w:rsidTr="00454FAD">
        <w:trPr>
          <w:trHeight w:val="70"/>
        </w:trPr>
        <w:tc>
          <w:tcPr>
            <w:tcW w:w="1130" w:type="dxa"/>
            <w:vAlign w:val="center"/>
          </w:tcPr>
          <w:p w14:paraId="2BF73865"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4.</w:t>
            </w:r>
          </w:p>
        </w:tc>
        <w:tc>
          <w:tcPr>
            <w:tcW w:w="1848" w:type="dxa"/>
            <w:vAlign w:val="center"/>
          </w:tcPr>
          <w:p w14:paraId="463B3270" w14:textId="77777777" w:rsidR="004F459C" w:rsidRPr="00025463" w:rsidRDefault="004F459C" w:rsidP="00454FAD">
            <w:pPr>
              <w:rPr>
                <w:rFonts w:eastAsia="Times New Roman"/>
                <w:color w:val="000000"/>
                <w:sz w:val="22"/>
                <w:szCs w:val="22"/>
                <w:lang w:val="lt-LT" w:eastAsia="lt-LT"/>
              </w:rPr>
            </w:pPr>
            <w:r w:rsidRPr="00A94D01">
              <w:rPr>
                <w:rFonts w:eastAsia="Times New Roman"/>
                <w:color w:val="000000"/>
                <w:bdr w:val="none" w:sz="0" w:space="0" w:color="auto"/>
                <w:lang w:val="lt-LT" w:eastAsia="lt-LT"/>
              </w:rPr>
              <w:t>Kablys</w:t>
            </w:r>
          </w:p>
        </w:tc>
        <w:tc>
          <w:tcPr>
            <w:tcW w:w="1984" w:type="dxa"/>
            <w:vAlign w:val="center"/>
          </w:tcPr>
          <w:p w14:paraId="680AD1EB"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 xml:space="preserve">Kocher-Langenbeck*, išmatavimai </w:t>
            </w:r>
            <w:r w:rsidRPr="00A94D01">
              <w:rPr>
                <w:rFonts w:eastAsia="Times New Roman"/>
                <w:color w:val="000000"/>
                <w:bdr w:val="none" w:sz="0" w:space="0" w:color="auto"/>
                <w:lang w:val="lt-LT" w:eastAsia="lt-LT"/>
              </w:rPr>
              <w:lastRenderedPageBreak/>
              <w:t>(gylis x plotis): (35x11)±0,5 mm, bendras ilgis 215±3 mm</w:t>
            </w:r>
          </w:p>
        </w:tc>
        <w:tc>
          <w:tcPr>
            <w:tcW w:w="992" w:type="dxa"/>
            <w:vAlign w:val="center"/>
          </w:tcPr>
          <w:p w14:paraId="02241F68"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lastRenderedPageBreak/>
              <w:t>vnt.</w:t>
            </w:r>
          </w:p>
        </w:tc>
        <w:tc>
          <w:tcPr>
            <w:tcW w:w="1447" w:type="dxa"/>
            <w:vAlign w:val="center"/>
          </w:tcPr>
          <w:p w14:paraId="3ED59600"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22E840D7" w14:textId="1583F564" w:rsidR="004F459C" w:rsidRPr="00025463" w:rsidRDefault="004F459C" w:rsidP="00454FAD">
            <w:pPr>
              <w:jc w:val="both"/>
              <w:rPr>
                <w:sz w:val="22"/>
                <w:szCs w:val="22"/>
              </w:rPr>
            </w:pPr>
          </w:p>
        </w:tc>
        <w:tc>
          <w:tcPr>
            <w:tcW w:w="1813" w:type="dxa"/>
            <w:vAlign w:val="center"/>
          </w:tcPr>
          <w:p w14:paraId="4D78B8FC" w14:textId="112D64E2" w:rsidR="004F459C" w:rsidRPr="00C31500" w:rsidRDefault="004F459C" w:rsidP="00454FAD">
            <w:pPr>
              <w:jc w:val="both"/>
              <w:rPr>
                <w:b/>
                <w:bCs/>
                <w:sz w:val="22"/>
                <w:szCs w:val="22"/>
              </w:rPr>
            </w:pPr>
          </w:p>
        </w:tc>
        <w:tc>
          <w:tcPr>
            <w:tcW w:w="851" w:type="dxa"/>
            <w:vAlign w:val="center"/>
          </w:tcPr>
          <w:p w14:paraId="2B5D6E32" w14:textId="0B63DD4C" w:rsidR="004F459C" w:rsidRPr="00025463" w:rsidRDefault="004F459C" w:rsidP="00454FAD">
            <w:pPr>
              <w:jc w:val="both"/>
              <w:rPr>
                <w:sz w:val="22"/>
                <w:szCs w:val="22"/>
              </w:rPr>
            </w:pPr>
          </w:p>
        </w:tc>
        <w:tc>
          <w:tcPr>
            <w:tcW w:w="1386" w:type="dxa"/>
            <w:vAlign w:val="center"/>
          </w:tcPr>
          <w:p w14:paraId="3A59350D" w14:textId="098D4384" w:rsidR="004F459C" w:rsidRPr="00025463" w:rsidRDefault="004F459C" w:rsidP="00454FAD">
            <w:pPr>
              <w:jc w:val="both"/>
              <w:rPr>
                <w:sz w:val="22"/>
                <w:szCs w:val="22"/>
              </w:rPr>
            </w:pPr>
          </w:p>
        </w:tc>
        <w:tc>
          <w:tcPr>
            <w:tcW w:w="1307" w:type="dxa"/>
            <w:vAlign w:val="center"/>
          </w:tcPr>
          <w:p w14:paraId="0B55191B" w14:textId="23E7AAB9" w:rsidR="004F459C" w:rsidRPr="00025463" w:rsidRDefault="004F459C" w:rsidP="00454FAD">
            <w:pPr>
              <w:jc w:val="both"/>
              <w:rPr>
                <w:sz w:val="22"/>
                <w:szCs w:val="22"/>
              </w:rPr>
            </w:pPr>
          </w:p>
        </w:tc>
        <w:tc>
          <w:tcPr>
            <w:tcW w:w="1525" w:type="dxa"/>
            <w:vAlign w:val="center"/>
          </w:tcPr>
          <w:p w14:paraId="5AB0CB11" w14:textId="6DBA6CAA" w:rsidR="004F459C" w:rsidRPr="00025463" w:rsidRDefault="004F459C" w:rsidP="00454FAD">
            <w:pPr>
              <w:jc w:val="both"/>
              <w:rPr>
                <w:sz w:val="22"/>
                <w:szCs w:val="22"/>
              </w:rPr>
            </w:pPr>
          </w:p>
        </w:tc>
      </w:tr>
      <w:tr w:rsidR="004F459C" w:rsidRPr="00025463" w14:paraId="3874D2F7" w14:textId="77777777" w:rsidTr="00454FAD">
        <w:trPr>
          <w:trHeight w:val="70"/>
        </w:trPr>
        <w:tc>
          <w:tcPr>
            <w:tcW w:w="13435" w:type="dxa"/>
            <w:gridSpan w:val="9"/>
            <w:vAlign w:val="center"/>
          </w:tcPr>
          <w:p w14:paraId="6B073EA3" w14:textId="77777777" w:rsidR="004F459C" w:rsidRPr="00025463" w:rsidRDefault="004F459C" w:rsidP="00454FAD">
            <w:pPr>
              <w:jc w:val="right"/>
              <w:rPr>
                <w:sz w:val="22"/>
                <w:szCs w:val="22"/>
              </w:rPr>
            </w:pPr>
            <w:r w:rsidRPr="00025463">
              <w:rPr>
                <w:b/>
                <w:bCs/>
                <w:sz w:val="22"/>
                <w:szCs w:val="22"/>
                <w:lang w:val="lt-LT" w:eastAsia="lt-LT"/>
              </w:rPr>
              <w:t>Bendra pradinė vertė 4-ai pirkimo daliai EUR be PVM</w:t>
            </w:r>
          </w:p>
        </w:tc>
        <w:tc>
          <w:tcPr>
            <w:tcW w:w="1307" w:type="dxa"/>
            <w:vAlign w:val="center"/>
          </w:tcPr>
          <w:p w14:paraId="0FFAE017" w14:textId="77777777" w:rsidR="004F459C" w:rsidRPr="00025463" w:rsidRDefault="004F459C" w:rsidP="00454FAD">
            <w:pPr>
              <w:jc w:val="both"/>
              <w:rPr>
                <w:sz w:val="22"/>
                <w:szCs w:val="22"/>
              </w:rPr>
            </w:pPr>
          </w:p>
        </w:tc>
        <w:tc>
          <w:tcPr>
            <w:tcW w:w="1525" w:type="dxa"/>
            <w:vAlign w:val="center"/>
          </w:tcPr>
          <w:p w14:paraId="267382FC" w14:textId="0269B527" w:rsidR="004F459C" w:rsidRPr="00C31500" w:rsidRDefault="004F459C" w:rsidP="00454FAD">
            <w:pPr>
              <w:jc w:val="both"/>
              <w:rPr>
                <w:b/>
                <w:bCs/>
                <w:sz w:val="22"/>
                <w:szCs w:val="22"/>
              </w:rPr>
            </w:pPr>
          </w:p>
        </w:tc>
      </w:tr>
      <w:tr w:rsidR="004F459C" w:rsidRPr="00025463" w14:paraId="1935187F" w14:textId="77777777" w:rsidTr="00454FAD">
        <w:trPr>
          <w:trHeight w:val="70"/>
        </w:trPr>
        <w:tc>
          <w:tcPr>
            <w:tcW w:w="13435" w:type="dxa"/>
            <w:gridSpan w:val="9"/>
            <w:vAlign w:val="center"/>
          </w:tcPr>
          <w:p w14:paraId="74CE2A44" w14:textId="77777777" w:rsidR="004F459C" w:rsidRPr="00025463" w:rsidRDefault="004F459C" w:rsidP="00454FAD">
            <w:pPr>
              <w:jc w:val="right"/>
              <w:rPr>
                <w:sz w:val="22"/>
                <w:szCs w:val="22"/>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suma</w:t>
            </w:r>
          </w:p>
        </w:tc>
        <w:tc>
          <w:tcPr>
            <w:tcW w:w="1307" w:type="dxa"/>
            <w:vAlign w:val="center"/>
          </w:tcPr>
          <w:p w14:paraId="2438590F" w14:textId="77777777" w:rsidR="004F459C" w:rsidRPr="00025463" w:rsidRDefault="004F459C" w:rsidP="00454FAD">
            <w:pPr>
              <w:jc w:val="both"/>
              <w:rPr>
                <w:sz w:val="22"/>
                <w:szCs w:val="22"/>
              </w:rPr>
            </w:pPr>
          </w:p>
        </w:tc>
        <w:tc>
          <w:tcPr>
            <w:tcW w:w="1525" w:type="dxa"/>
            <w:vAlign w:val="center"/>
          </w:tcPr>
          <w:p w14:paraId="20BD4CB9" w14:textId="2C575902" w:rsidR="004F459C" w:rsidRPr="00C31500" w:rsidRDefault="004F459C" w:rsidP="00454FAD">
            <w:pPr>
              <w:jc w:val="both"/>
              <w:rPr>
                <w:b/>
                <w:bCs/>
                <w:sz w:val="22"/>
                <w:szCs w:val="22"/>
              </w:rPr>
            </w:pPr>
          </w:p>
        </w:tc>
      </w:tr>
      <w:tr w:rsidR="004F459C" w:rsidRPr="00025463" w14:paraId="5710516D" w14:textId="77777777" w:rsidTr="00454FAD">
        <w:trPr>
          <w:trHeight w:val="70"/>
        </w:trPr>
        <w:tc>
          <w:tcPr>
            <w:tcW w:w="13435" w:type="dxa"/>
            <w:gridSpan w:val="9"/>
            <w:vAlign w:val="center"/>
          </w:tcPr>
          <w:p w14:paraId="24F977F6" w14:textId="77777777" w:rsidR="004F459C" w:rsidRPr="00025463" w:rsidRDefault="004F459C" w:rsidP="00454FAD">
            <w:pPr>
              <w:jc w:val="right"/>
              <w:rPr>
                <w:sz w:val="22"/>
                <w:szCs w:val="22"/>
              </w:rPr>
            </w:pPr>
            <w:r w:rsidRPr="00025463">
              <w:rPr>
                <w:b/>
                <w:bCs/>
                <w:sz w:val="22"/>
                <w:szCs w:val="22"/>
                <w:lang w:val="lt-LT" w:eastAsia="lt-LT"/>
              </w:rPr>
              <w:t>Sutarties kaina 4-ai pirkimo daliai EUR su PVM</w:t>
            </w:r>
          </w:p>
        </w:tc>
        <w:tc>
          <w:tcPr>
            <w:tcW w:w="1307" w:type="dxa"/>
            <w:vAlign w:val="center"/>
          </w:tcPr>
          <w:p w14:paraId="117BD836" w14:textId="77777777" w:rsidR="004F459C" w:rsidRPr="00025463" w:rsidRDefault="004F459C" w:rsidP="00454FAD">
            <w:pPr>
              <w:jc w:val="both"/>
              <w:rPr>
                <w:sz w:val="22"/>
                <w:szCs w:val="22"/>
              </w:rPr>
            </w:pPr>
          </w:p>
        </w:tc>
        <w:tc>
          <w:tcPr>
            <w:tcW w:w="1525" w:type="dxa"/>
            <w:vAlign w:val="center"/>
          </w:tcPr>
          <w:p w14:paraId="572239CD" w14:textId="2DFE7247" w:rsidR="004F459C" w:rsidRPr="00C31500" w:rsidRDefault="004F459C" w:rsidP="00454FAD">
            <w:pPr>
              <w:jc w:val="both"/>
              <w:rPr>
                <w:b/>
                <w:bCs/>
                <w:sz w:val="22"/>
                <w:szCs w:val="22"/>
              </w:rPr>
            </w:pPr>
          </w:p>
        </w:tc>
      </w:tr>
      <w:tr w:rsidR="004F459C" w:rsidRPr="00025463" w14:paraId="74F7CFEB" w14:textId="77777777" w:rsidTr="00454FAD">
        <w:trPr>
          <w:trHeight w:val="70"/>
        </w:trPr>
        <w:tc>
          <w:tcPr>
            <w:tcW w:w="1130" w:type="dxa"/>
            <w:vAlign w:val="center"/>
          </w:tcPr>
          <w:p w14:paraId="2810A847"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5.</w:t>
            </w:r>
          </w:p>
        </w:tc>
        <w:tc>
          <w:tcPr>
            <w:tcW w:w="1848" w:type="dxa"/>
            <w:vAlign w:val="center"/>
          </w:tcPr>
          <w:p w14:paraId="221471EE" w14:textId="77777777" w:rsidR="004F459C" w:rsidRPr="00025463" w:rsidRDefault="004F459C" w:rsidP="00454FAD">
            <w:pPr>
              <w:rPr>
                <w:rFonts w:eastAsia="Times New Roman"/>
                <w:color w:val="000000"/>
                <w:sz w:val="22"/>
                <w:szCs w:val="22"/>
                <w:lang w:val="lt-LT" w:eastAsia="lt-LT"/>
              </w:rPr>
            </w:pPr>
            <w:r w:rsidRPr="00A94D01">
              <w:rPr>
                <w:rFonts w:eastAsia="Times New Roman"/>
                <w:color w:val="000000"/>
                <w:bdr w:val="none" w:sz="0" w:space="0" w:color="auto"/>
                <w:lang w:val="lt-LT" w:eastAsia="lt-LT"/>
              </w:rPr>
              <w:t>Kocher-Langenbeck kablys</w:t>
            </w:r>
          </w:p>
        </w:tc>
        <w:tc>
          <w:tcPr>
            <w:tcW w:w="1984" w:type="dxa"/>
            <w:vAlign w:val="center"/>
          </w:tcPr>
          <w:p w14:paraId="05636B8A"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išmatavimai (gylis x plotis): (35x15)±0,5 mm, bendras ilgis 215±3 mm</w:t>
            </w:r>
          </w:p>
        </w:tc>
        <w:tc>
          <w:tcPr>
            <w:tcW w:w="992" w:type="dxa"/>
            <w:vAlign w:val="center"/>
          </w:tcPr>
          <w:p w14:paraId="522149D3"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621A026F"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1ADC53EA" w14:textId="12011287" w:rsidR="004F459C" w:rsidRPr="00025463" w:rsidRDefault="004F459C" w:rsidP="00454FAD">
            <w:pPr>
              <w:jc w:val="both"/>
              <w:rPr>
                <w:sz w:val="22"/>
                <w:szCs w:val="22"/>
              </w:rPr>
            </w:pPr>
          </w:p>
        </w:tc>
        <w:tc>
          <w:tcPr>
            <w:tcW w:w="1813" w:type="dxa"/>
            <w:vAlign w:val="center"/>
          </w:tcPr>
          <w:p w14:paraId="39956A7B" w14:textId="38939D29" w:rsidR="004F459C" w:rsidRPr="002451E5" w:rsidRDefault="004F459C" w:rsidP="00454FAD">
            <w:pPr>
              <w:rPr>
                <w:sz w:val="22"/>
                <w:szCs w:val="22"/>
              </w:rPr>
            </w:pPr>
          </w:p>
        </w:tc>
        <w:tc>
          <w:tcPr>
            <w:tcW w:w="851" w:type="dxa"/>
            <w:vAlign w:val="center"/>
          </w:tcPr>
          <w:p w14:paraId="3422B3BF" w14:textId="76F1E2B8" w:rsidR="004F459C" w:rsidRPr="00025463" w:rsidRDefault="004F459C" w:rsidP="00454FAD">
            <w:pPr>
              <w:jc w:val="both"/>
              <w:rPr>
                <w:sz w:val="22"/>
                <w:szCs w:val="22"/>
              </w:rPr>
            </w:pPr>
          </w:p>
        </w:tc>
        <w:tc>
          <w:tcPr>
            <w:tcW w:w="1386" w:type="dxa"/>
            <w:vAlign w:val="center"/>
          </w:tcPr>
          <w:p w14:paraId="32566FAB" w14:textId="7674B933" w:rsidR="004F459C" w:rsidRPr="00025463" w:rsidRDefault="004F459C" w:rsidP="00454FAD">
            <w:pPr>
              <w:jc w:val="both"/>
              <w:rPr>
                <w:sz w:val="22"/>
                <w:szCs w:val="22"/>
              </w:rPr>
            </w:pPr>
          </w:p>
        </w:tc>
        <w:tc>
          <w:tcPr>
            <w:tcW w:w="1307" w:type="dxa"/>
            <w:vAlign w:val="center"/>
          </w:tcPr>
          <w:p w14:paraId="3906BF53" w14:textId="7363CC93" w:rsidR="004F459C" w:rsidRPr="00025463" w:rsidRDefault="004F459C" w:rsidP="00454FAD">
            <w:pPr>
              <w:jc w:val="both"/>
              <w:rPr>
                <w:sz w:val="22"/>
                <w:szCs w:val="22"/>
              </w:rPr>
            </w:pPr>
          </w:p>
        </w:tc>
        <w:tc>
          <w:tcPr>
            <w:tcW w:w="1525" w:type="dxa"/>
            <w:vAlign w:val="center"/>
          </w:tcPr>
          <w:p w14:paraId="52E6A293" w14:textId="1572E264" w:rsidR="004F459C" w:rsidRPr="00025463" w:rsidRDefault="004F459C" w:rsidP="00454FAD">
            <w:pPr>
              <w:jc w:val="both"/>
              <w:rPr>
                <w:sz w:val="22"/>
                <w:szCs w:val="22"/>
              </w:rPr>
            </w:pPr>
          </w:p>
        </w:tc>
      </w:tr>
      <w:tr w:rsidR="004F459C" w:rsidRPr="00025463" w14:paraId="239F23F1" w14:textId="77777777" w:rsidTr="00454FAD">
        <w:trPr>
          <w:trHeight w:val="70"/>
        </w:trPr>
        <w:tc>
          <w:tcPr>
            <w:tcW w:w="13435" w:type="dxa"/>
            <w:gridSpan w:val="9"/>
            <w:vAlign w:val="center"/>
          </w:tcPr>
          <w:p w14:paraId="61F06780" w14:textId="77777777" w:rsidR="004F459C" w:rsidRPr="00025463" w:rsidRDefault="004F459C" w:rsidP="00454FAD">
            <w:pPr>
              <w:jc w:val="right"/>
              <w:rPr>
                <w:sz w:val="22"/>
                <w:szCs w:val="22"/>
              </w:rPr>
            </w:pPr>
            <w:r w:rsidRPr="00025463">
              <w:rPr>
                <w:b/>
                <w:bCs/>
                <w:sz w:val="22"/>
                <w:szCs w:val="22"/>
                <w:lang w:val="lt-LT" w:eastAsia="lt-LT"/>
              </w:rPr>
              <w:t>Bendra pradinė vertė 5-ai pirkimo daliai EUR be PVM</w:t>
            </w:r>
          </w:p>
        </w:tc>
        <w:tc>
          <w:tcPr>
            <w:tcW w:w="1307" w:type="dxa"/>
            <w:vAlign w:val="center"/>
          </w:tcPr>
          <w:p w14:paraId="5EBF8086" w14:textId="77777777" w:rsidR="004F459C" w:rsidRPr="00025463" w:rsidRDefault="004F459C" w:rsidP="00454FAD">
            <w:pPr>
              <w:jc w:val="both"/>
              <w:rPr>
                <w:sz w:val="22"/>
                <w:szCs w:val="22"/>
              </w:rPr>
            </w:pPr>
          </w:p>
        </w:tc>
        <w:tc>
          <w:tcPr>
            <w:tcW w:w="1525" w:type="dxa"/>
            <w:vAlign w:val="center"/>
          </w:tcPr>
          <w:p w14:paraId="73B28B83" w14:textId="56AC10B9" w:rsidR="004F459C" w:rsidRPr="002451E5" w:rsidRDefault="004F459C" w:rsidP="00454FAD">
            <w:pPr>
              <w:jc w:val="both"/>
              <w:rPr>
                <w:b/>
                <w:bCs/>
                <w:sz w:val="22"/>
                <w:szCs w:val="22"/>
              </w:rPr>
            </w:pPr>
          </w:p>
        </w:tc>
      </w:tr>
      <w:tr w:rsidR="004F459C" w:rsidRPr="00025463" w14:paraId="5BFF6721" w14:textId="77777777" w:rsidTr="00454FAD">
        <w:trPr>
          <w:trHeight w:val="70"/>
        </w:trPr>
        <w:tc>
          <w:tcPr>
            <w:tcW w:w="13435" w:type="dxa"/>
            <w:gridSpan w:val="9"/>
            <w:vAlign w:val="center"/>
          </w:tcPr>
          <w:p w14:paraId="2B329810" w14:textId="77777777" w:rsidR="004F459C" w:rsidRPr="00025463" w:rsidRDefault="004F459C" w:rsidP="00454FAD">
            <w:pPr>
              <w:jc w:val="right"/>
              <w:rPr>
                <w:sz w:val="22"/>
                <w:szCs w:val="22"/>
              </w:rPr>
            </w:pPr>
            <w:r w:rsidRPr="00025463">
              <w:rPr>
                <w:b/>
                <w:bCs/>
                <w:sz w:val="22"/>
                <w:szCs w:val="22"/>
                <w:lang w:val="lt-LT" w:eastAsia="lt-LT"/>
              </w:rPr>
              <w:t>PVM (</w:t>
            </w:r>
            <w:r>
              <w:rPr>
                <w:b/>
                <w:bCs/>
                <w:sz w:val="22"/>
                <w:szCs w:val="22"/>
                <w:lang w:val="lt-LT" w:eastAsia="lt-LT"/>
              </w:rPr>
              <w:t>21</w:t>
            </w:r>
            <w:r w:rsidRPr="00025463">
              <w:rPr>
                <w:b/>
                <w:bCs/>
                <w:sz w:val="22"/>
                <w:szCs w:val="22"/>
                <w:lang w:val="lt-LT" w:eastAsia="lt-LT"/>
              </w:rPr>
              <w:t xml:space="preserve"> %) suma</w:t>
            </w:r>
          </w:p>
        </w:tc>
        <w:tc>
          <w:tcPr>
            <w:tcW w:w="1307" w:type="dxa"/>
            <w:vAlign w:val="center"/>
          </w:tcPr>
          <w:p w14:paraId="4F006A8A" w14:textId="77777777" w:rsidR="004F459C" w:rsidRPr="00025463" w:rsidRDefault="004F459C" w:rsidP="00454FAD">
            <w:pPr>
              <w:jc w:val="both"/>
              <w:rPr>
                <w:sz w:val="22"/>
                <w:szCs w:val="22"/>
              </w:rPr>
            </w:pPr>
          </w:p>
        </w:tc>
        <w:tc>
          <w:tcPr>
            <w:tcW w:w="1525" w:type="dxa"/>
            <w:vAlign w:val="center"/>
          </w:tcPr>
          <w:p w14:paraId="5E0409F8" w14:textId="220A63A6" w:rsidR="004F459C" w:rsidRPr="002451E5" w:rsidRDefault="004F459C" w:rsidP="00454FAD">
            <w:pPr>
              <w:jc w:val="both"/>
              <w:rPr>
                <w:b/>
                <w:bCs/>
                <w:sz w:val="22"/>
                <w:szCs w:val="22"/>
              </w:rPr>
            </w:pPr>
          </w:p>
        </w:tc>
      </w:tr>
      <w:tr w:rsidR="004F459C" w:rsidRPr="00025463" w14:paraId="5EAA0C86" w14:textId="77777777" w:rsidTr="00454FAD">
        <w:trPr>
          <w:trHeight w:val="70"/>
        </w:trPr>
        <w:tc>
          <w:tcPr>
            <w:tcW w:w="13435" w:type="dxa"/>
            <w:gridSpan w:val="9"/>
            <w:vAlign w:val="center"/>
          </w:tcPr>
          <w:p w14:paraId="70243660" w14:textId="77777777" w:rsidR="004F459C" w:rsidRPr="00025463" w:rsidRDefault="004F459C" w:rsidP="00454FAD">
            <w:pPr>
              <w:jc w:val="right"/>
              <w:rPr>
                <w:sz w:val="22"/>
                <w:szCs w:val="22"/>
              </w:rPr>
            </w:pPr>
            <w:r w:rsidRPr="00025463">
              <w:rPr>
                <w:b/>
                <w:bCs/>
                <w:sz w:val="22"/>
                <w:szCs w:val="22"/>
                <w:lang w:val="lt-LT" w:eastAsia="lt-LT"/>
              </w:rPr>
              <w:t>Sutarties kaina 5-ai pirkimo daliai EUR su PVM</w:t>
            </w:r>
          </w:p>
        </w:tc>
        <w:tc>
          <w:tcPr>
            <w:tcW w:w="1307" w:type="dxa"/>
            <w:vAlign w:val="center"/>
          </w:tcPr>
          <w:p w14:paraId="3846F577" w14:textId="77777777" w:rsidR="004F459C" w:rsidRPr="00025463" w:rsidRDefault="004F459C" w:rsidP="00454FAD">
            <w:pPr>
              <w:jc w:val="both"/>
              <w:rPr>
                <w:sz w:val="22"/>
                <w:szCs w:val="22"/>
              </w:rPr>
            </w:pPr>
          </w:p>
        </w:tc>
        <w:tc>
          <w:tcPr>
            <w:tcW w:w="1525" w:type="dxa"/>
            <w:vAlign w:val="center"/>
          </w:tcPr>
          <w:p w14:paraId="1543A1FC" w14:textId="039D9400" w:rsidR="004F459C" w:rsidRPr="002451E5" w:rsidRDefault="004F459C" w:rsidP="00454FAD">
            <w:pPr>
              <w:jc w:val="both"/>
              <w:rPr>
                <w:b/>
                <w:bCs/>
                <w:sz w:val="22"/>
                <w:szCs w:val="22"/>
              </w:rPr>
            </w:pPr>
          </w:p>
        </w:tc>
      </w:tr>
      <w:tr w:rsidR="004F459C" w:rsidRPr="00025463" w14:paraId="603B37AD" w14:textId="77777777" w:rsidTr="00454FAD">
        <w:trPr>
          <w:trHeight w:val="70"/>
        </w:trPr>
        <w:tc>
          <w:tcPr>
            <w:tcW w:w="1130" w:type="dxa"/>
            <w:vAlign w:val="center"/>
          </w:tcPr>
          <w:p w14:paraId="3CAF5190"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6.</w:t>
            </w:r>
          </w:p>
        </w:tc>
        <w:tc>
          <w:tcPr>
            <w:tcW w:w="1848" w:type="dxa"/>
            <w:vAlign w:val="center"/>
          </w:tcPr>
          <w:p w14:paraId="2CD8D5D5" w14:textId="77777777" w:rsidR="004F459C" w:rsidRPr="00025463" w:rsidRDefault="004F459C" w:rsidP="00454FAD">
            <w:pPr>
              <w:rPr>
                <w:rFonts w:eastAsia="Times New Roman"/>
                <w:color w:val="000000"/>
                <w:sz w:val="22"/>
                <w:szCs w:val="22"/>
                <w:lang w:val="lt-LT" w:eastAsia="lt-LT"/>
              </w:rPr>
            </w:pPr>
            <w:r w:rsidRPr="00A94D01">
              <w:rPr>
                <w:rFonts w:eastAsia="Times New Roman"/>
                <w:color w:val="000000"/>
                <w:bdr w:val="none" w:sz="0" w:space="0" w:color="auto"/>
                <w:lang w:val="lt-LT" w:eastAsia="lt-LT"/>
              </w:rPr>
              <w:t>Kocher-Langenbeck kablys</w:t>
            </w:r>
          </w:p>
        </w:tc>
        <w:tc>
          <w:tcPr>
            <w:tcW w:w="1984" w:type="dxa"/>
            <w:vAlign w:val="center"/>
          </w:tcPr>
          <w:p w14:paraId="15902206"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išmatavimai (gylis x plotis): (41x11)±0,5 mm, bendras ilgis 215±3 mm</w:t>
            </w:r>
          </w:p>
        </w:tc>
        <w:tc>
          <w:tcPr>
            <w:tcW w:w="992" w:type="dxa"/>
            <w:vAlign w:val="center"/>
          </w:tcPr>
          <w:p w14:paraId="55760B42"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2C9ABCF8"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47502F57" w14:textId="6D416851" w:rsidR="004F459C" w:rsidRPr="00025463" w:rsidRDefault="004F459C" w:rsidP="00454FAD">
            <w:pPr>
              <w:jc w:val="both"/>
              <w:rPr>
                <w:sz w:val="22"/>
                <w:szCs w:val="22"/>
              </w:rPr>
            </w:pPr>
          </w:p>
        </w:tc>
        <w:tc>
          <w:tcPr>
            <w:tcW w:w="1813" w:type="dxa"/>
            <w:vAlign w:val="center"/>
          </w:tcPr>
          <w:p w14:paraId="74823B10" w14:textId="091E5F79" w:rsidR="004F459C" w:rsidRPr="002451E5" w:rsidRDefault="004F459C" w:rsidP="00454FAD">
            <w:pPr>
              <w:jc w:val="both"/>
              <w:rPr>
                <w:sz w:val="22"/>
                <w:szCs w:val="22"/>
              </w:rPr>
            </w:pPr>
          </w:p>
        </w:tc>
        <w:tc>
          <w:tcPr>
            <w:tcW w:w="851" w:type="dxa"/>
            <w:vAlign w:val="center"/>
          </w:tcPr>
          <w:p w14:paraId="4320C44E" w14:textId="3438FBBD" w:rsidR="004F459C" w:rsidRPr="00025463" w:rsidRDefault="004F459C" w:rsidP="00454FAD">
            <w:pPr>
              <w:jc w:val="both"/>
              <w:rPr>
                <w:sz w:val="22"/>
                <w:szCs w:val="22"/>
              </w:rPr>
            </w:pPr>
          </w:p>
        </w:tc>
        <w:tc>
          <w:tcPr>
            <w:tcW w:w="1386" w:type="dxa"/>
            <w:vAlign w:val="center"/>
          </w:tcPr>
          <w:p w14:paraId="5B17C8F7" w14:textId="4E307658" w:rsidR="004F459C" w:rsidRPr="00025463" w:rsidRDefault="004F459C" w:rsidP="00454FAD">
            <w:pPr>
              <w:jc w:val="both"/>
              <w:rPr>
                <w:sz w:val="22"/>
                <w:szCs w:val="22"/>
              </w:rPr>
            </w:pPr>
          </w:p>
        </w:tc>
        <w:tc>
          <w:tcPr>
            <w:tcW w:w="1307" w:type="dxa"/>
            <w:vAlign w:val="center"/>
          </w:tcPr>
          <w:p w14:paraId="3A858366" w14:textId="6B090C74" w:rsidR="004F459C" w:rsidRPr="00025463" w:rsidRDefault="004F459C" w:rsidP="00454FAD">
            <w:pPr>
              <w:jc w:val="both"/>
              <w:rPr>
                <w:sz w:val="22"/>
                <w:szCs w:val="22"/>
              </w:rPr>
            </w:pPr>
          </w:p>
        </w:tc>
        <w:tc>
          <w:tcPr>
            <w:tcW w:w="1525" w:type="dxa"/>
            <w:vAlign w:val="center"/>
          </w:tcPr>
          <w:p w14:paraId="2F0EA776" w14:textId="4F437C6C" w:rsidR="004F459C" w:rsidRPr="00025463" w:rsidRDefault="004F459C" w:rsidP="00454FAD">
            <w:pPr>
              <w:jc w:val="both"/>
              <w:rPr>
                <w:sz w:val="22"/>
                <w:szCs w:val="22"/>
              </w:rPr>
            </w:pPr>
          </w:p>
        </w:tc>
      </w:tr>
      <w:tr w:rsidR="004F459C" w:rsidRPr="00025463" w14:paraId="2AE3EF07" w14:textId="77777777" w:rsidTr="00454FAD">
        <w:trPr>
          <w:trHeight w:val="70"/>
        </w:trPr>
        <w:tc>
          <w:tcPr>
            <w:tcW w:w="13435" w:type="dxa"/>
            <w:gridSpan w:val="9"/>
            <w:vAlign w:val="center"/>
          </w:tcPr>
          <w:p w14:paraId="5AD3D192" w14:textId="77777777" w:rsidR="004F459C" w:rsidRPr="00025463" w:rsidRDefault="004F459C" w:rsidP="00454FAD">
            <w:pPr>
              <w:jc w:val="right"/>
              <w:rPr>
                <w:sz w:val="22"/>
                <w:szCs w:val="22"/>
              </w:rPr>
            </w:pPr>
            <w:r w:rsidRPr="00025463">
              <w:rPr>
                <w:b/>
                <w:bCs/>
                <w:sz w:val="22"/>
                <w:szCs w:val="22"/>
                <w:lang w:val="lt-LT" w:eastAsia="lt-LT"/>
              </w:rPr>
              <w:t>Bendra pradinė vertė 6-ai pirkimo daliai EUR be PVM</w:t>
            </w:r>
          </w:p>
        </w:tc>
        <w:tc>
          <w:tcPr>
            <w:tcW w:w="1307" w:type="dxa"/>
            <w:vAlign w:val="center"/>
          </w:tcPr>
          <w:p w14:paraId="0B1BB332" w14:textId="77777777" w:rsidR="004F459C" w:rsidRPr="00025463" w:rsidRDefault="004F459C" w:rsidP="00454FAD">
            <w:pPr>
              <w:jc w:val="both"/>
              <w:rPr>
                <w:sz w:val="22"/>
                <w:szCs w:val="22"/>
              </w:rPr>
            </w:pPr>
          </w:p>
        </w:tc>
        <w:tc>
          <w:tcPr>
            <w:tcW w:w="1525" w:type="dxa"/>
            <w:vAlign w:val="center"/>
          </w:tcPr>
          <w:p w14:paraId="40B640E2" w14:textId="552FBA72" w:rsidR="004F459C" w:rsidRPr="002451E5" w:rsidRDefault="004F459C" w:rsidP="00454FAD">
            <w:pPr>
              <w:jc w:val="both"/>
              <w:rPr>
                <w:b/>
                <w:bCs/>
                <w:sz w:val="22"/>
                <w:szCs w:val="22"/>
              </w:rPr>
            </w:pPr>
          </w:p>
        </w:tc>
      </w:tr>
      <w:tr w:rsidR="004F459C" w:rsidRPr="00025463" w14:paraId="570F948A" w14:textId="77777777" w:rsidTr="00454FAD">
        <w:trPr>
          <w:trHeight w:val="70"/>
        </w:trPr>
        <w:tc>
          <w:tcPr>
            <w:tcW w:w="13435" w:type="dxa"/>
            <w:gridSpan w:val="9"/>
            <w:vAlign w:val="center"/>
          </w:tcPr>
          <w:p w14:paraId="0555999E" w14:textId="77777777" w:rsidR="004F459C" w:rsidRPr="00025463" w:rsidRDefault="004F459C" w:rsidP="00454FAD">
            <w:pPr>
              <w:jc w:val="right"/>
              <w:rPr>
                <w:sz w:val="22"/>
                <w:szCs w:val="22"/>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suma</w:t>
            </w:r>
          </w:p>
        </w:tc>
        <w:tc>
          <w:tcPr>
            <w:tcW w:w="1307" w:type="dxa"/>
            <w:vAlign w:val="center"/>
          </w:tcPr>
          <w:p w14:paraId="3FF2ED1C" w14:textId="77777777" w:rsidR="004F459C" w:rsidRPr="00025463" w:rsidRDefault="004F459C" w:rsidP="00454FAD">
            <w:pPr>
              <w:jc w:val="both"/>
              <w:rPr>
                <w:sz w:val="22"/>
                <w:szCs w:val="22"/>
              </w:rPr>
            </w:pPr>
          </w:p>
        </w:tc>
        <w:tc>
          <w:tcPr>
            <w:tcW w:w="1525" w:type="dxa"/>
            <w:vAlign w:val="center"/>
          </w:tcPr>
          <w:p w14:paraId="657F132D" w14:textId="23108E71" w:rsidR="004F459C" w:rsidRPr="002451E5" w:rsidRDefault="004F459C" w:rsidP="00454FAD">
            <w:pPr>
              <w:jc w:val="both"/>
              <w:rPr>
                <w:b/>
                <w:bCs/>
                <w:sz w:val="22"/>
                <w:szCs w:val="22"/>
              </w:rPr>
            </w:pPr>
          </w:p>
        </w:tc>
      </w:tr>
      <w:tr w:rsidR="004F459C" w:rsidRPr="00025463" w14:paraId="4F37390C" w14:textId="77777777" w:rsidTr="00454FAD">
        <w:trPr>
          <w:trHeight w:val="70"/>
        </w:trPr>
        <w:tc>
          <w:tcPr>
            <w:tcW w:w="13435" w:type="dxa"/>
            <w:gridSpan w:val="9"/>
            <w:vAlign w:val="center"/>
          </w:tcPr>
          <w:p w14:paraId="0BC26141" w14:textId="77777777" w:rsidR="004F459C" w:rsidRPr="00025463" w:rsidRDefault="004F459C" w:rsidP="00454FAD">
            <w:pPr>
              <w:jc w:val="right"/>
              <w:rPr>
                <w:sz w:val="22"/>
                <w:szCs w:val="22"/>
              </w:rPr>
            </w:pPr>
            <w:r w:rsidRPr="00025463">
              <w:rPr>
                <w:b/>
                <w:bCs/>
                <w:sz w:val="22"/>
                <w:szCs w:val="22"/>
                <w:lang w:val="lt-LT" w:eastAsia="lt-LT"/>
              </w:rPr>
              <w:t>Sutarties kaina 6-ai pirkimo daliai EUR su PVM</w:t>
            </w:r>
          </w:p>
        </w:tc>
        <w:tc>
          <w:tcPr>
            <w:tcW w:w="1307" w:type="dxa"/>
            <w:vAlign w:val="center"/>
          </w:tcPr>
          <w:p w14:paraId="3B19BC67" w14:textId="77777777" w:rsidR="004F459C" w:rsidRPr="00025463" w:rsidRDefault="004F459C" w:rsidP="00454FAD">
            <w:pPr>
              <w:jc w:val="both"/>
              <w:rPr>
                <w:sz w:val="22"/>
                <w:szCs w:val="22"/>
              </w:rPr>
            </w:pPr>
          </w:p>
        </w:tc>
        <w:tc>
          <w:tcPr>
            <w:tcW w:w="1525" w:type="dxa"/>
            <w:vAlign w:val="center"/>
          </w:tcPr>
          <w:p w14:paraId="655D8153" w14:textId="4D355586" w:rsidR="004F459C" w:rsidRPr="002451E5" w:rsidRDefault="004F459C" w:rsidP="00454FAD">
            <w:pPr>
              <w:jc w:val="both"/>
              <w:rPr>
                <w:b/>
                <w:bCs/>
                <w:sz w:val="22"/>
                <w:szCs w:val="22"/>
              </w:rPr>
            </w:pPr>
          </w:p>
        </w:tc>
      </w:tr>
      <w:tr w:rsidR="004F459C" w:rsidRPr="00025463" w14:paraId="41F45961" w14:textId="77777777" w:rsidTr="00454FAD">
        <w:trPr>
          <w:trHeight w:val="70"/>
        </w:trPr>
        <w:tc>
          <w:tcPr>
            <w:tcW w:w="1130" w:type="dxa"/>
            <w:vAlign w:val="center"/>
          </w:tcPr>
          <w:p w14:paraId="149470C8"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7.</w:t>
            </w:r>
          </w:p>
        </w:tc>
        <w:tc>
          <w:tcPr>
            <w:tcW w:w="1848" w:type="dxa"/>
            <w:vAlign w:val="center"/>
          </w:tcPr>
          <w:p w14:paraId="1DB75FF5" w14:textId="77777777" w:rsidR="004F459C" w:rsidRPr="00025463" w:rsidRDefault="004F459C" w:rsidP="00454FAD">
            <w:pPr>
              <w:rPr>
                <w:rFonts w:eastAsia="Times New Roman"/>
                <w:color w:val="000000"/>
                <w:sz w:val="22"/>
                <w:szCs w:val="22"/>
                <w:lang w:val="lt-LT" w:eastAsia="lt-LT"/>
              </w:rPr>
            </w:pPr>
            <w:r w:rsidRPr="00A94D01">
              <w:rPr>
                <w:rFonts w:eastAsia="Times New Roman"/>
                <w:color w:val="000000"/>
                <w:bdr w:val="none" w:sz="0" w:space="0" w:color="auto"/>
                <w:lang w:val="lt-LT" w:eastAsia="lt-LT"/>
              </w:rPr>
              <w:t>Kocher-Langenbeck kablys</w:t>
            </w:r>
          </w:p>
        </w:tc>
        <w:tc>
          <w:tcPr>
            <w:tcW w:w="1984" w:type="dxa"/>
            <w:vAlign w:val="center"/>
          </w:tcPr>
          <w:p w14:paraId="1EE8EF6E"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išmatavimai (gylis x plotis): (55x11)±0,5 mm, bendras ilgis 215±3 mm</w:t>
            </w:r>
          </w:p>
        </w:tc>
        <w:tc>
          <w:tcPr>
            <w:tcW w:w="992" w:type="dxa"/>
            <w:vAlign w:val="center"/>
          </w:tcPr>
          <w:p w14:paraId="693615FE"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5AF6929B"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40631C46" w14:textId="246163CB" w:rsidR="004F459C" w:rsidRPr="00025463" w:rsidRDefault="004F459C" w:rsidP="00454FAD">
            <w:pPr>
              <w:jc w:val="both"/>
              <w:rPr>
                <w:sz w:val="22"/>
                <w:szCs w:val="22"/>
              </w:rPr>
            </w:pPr>
          </w:p>
        </w:tc>
        <w:tc>
          <w:tcPr>
            <w:tcW w:w="1813" w:type="dxa"/>
            <w:vAlign w:val="center"/>
          </w:tcPr>
          <w:p w14:paraId="5688AD46" w14:textId="583FD87F" w:rsidR="004F459C" w:rsidRPr="002451E5" w:rsidRDefault="004F459C" w:rsidP="00454FAD">
            <w:pPr>
              <w:jc w:val="both"/>
              <w:rPr>
                <w:sz w:val="22"/>
                <w:szCs w:val="22"/>
              </w:rPr>
            </w:pPr>
          </w:p>
        </w:tc>
        <w:tc>
          <w:tcPr>
            <w:tcW w:w="851" w:type="dxa"/>
            <w:vAlign w:val="center"/>
          </w:tcPr>
          <w:p w14:paraId="546C2D7F" w14:textId="548D9FFF" w:rsidR="004F459C" w:rsidRPr="00025463" w:rsidRDefault="004F459C" w:rsidP="00454FAD">
            <w:pPr>
              <w:jc w:val="both"/>
              <w:rPr>
                <w:sz w:val="22"/>
                <w:szCs w:val="22"/>
              </w:rPr>
            </w:pPr>
          </w:p>
        </w:tc>
        <w:tc>
          <w:tcPr>
            <w:tcW w:w="1386" w:type="dxa"/>
            <w:vAlign w:val="center"/>
          </w:tcPr>
          <w:p w14:paraId="551A3D86" w14:textId="014BD095" w:rsidR="004F459C" w:rsidRPr="00025463" w:rsidRDefault="004F459C" w:rsidP="00454FAD">
            <w:pPr>
              <w:jc w:val="both"/>
              <w:rPr>
                <w:sz w:val="22"/>
                <w:szCs w:val="22"/>
              </w:rPr>
            </w:pPr>
          </w:p>
        </w:tc>
        <w:tc>
          <w:tcPr>
            <w:tcW w:w="1307" w:type="dxa"/>
            <w:vAlign w:val="center"/>
          </w:tcPr>
          <w:p w14:paraId="6AB71618" w14:textId="4384AD8F" w:rsidR="004F459C" w:rsidRPr="00025463" w:rsidRDefault="004F459C" w:rsidP="00454FAD">
            <w:pPr>
              <w:jc w:val="both"/>
              <w:rPr>
                <w:sz w:val="22"/>
                <w:szCs w:val="22"/>
              </w:rPr>
            </w:pPr>
          </w:p>
        </w:tc>
        <w:tc>
          <w:tcPr>
            <w:tcW w:w="1525" w:type="dxa"/>
            <w:vAlign w:val="center"/>
          </w:tcPr>
          <w:p w14:paraId="0CD77D73" w14:textId="121ED2AB" w:rsidR="004F459C" w:rsidRPr="00025463" w:rsidRDefault="004F459C" w:rsidP="00454FAD">
            <w:pPr>
              <w:jc w:val="both"/>
              <w:rPr>
                <w:sz w:val="22"/>
                <w:szCs w:val="22"/>
              </w:rPr>
            </w:pPr>
          </w:p>
        </w:tc>
      </w:tr>
      <w:tr w:rsidR="004F459C" w:rsidRPr="00025463" w14:paraId="6C5F214C" w14:textId="77777777" w:rsidTr="00454FAD">
        <w:trPr>
          <w:trHeight w:val="70"/>
        </w:trPr>
        <w:tc>
          <w:tcPr>
            <w:tcW w:w="13435" w:type="dxa"/>
            <w:gridSpan w:val="9"/>
            <w:vAlign w:val="center"/>
          </w:tcPr>
          <w:p w14:paraId="5615A558" w14:textId="77777777" w:rsidR="004F459C" w:rsidRPr="00025463" w:rsidRDefault="004F459C" w:rsidP="00454FAD">
            <w:pPr>
              <w:jc w:val="right"/>
              <w:rPr>
                <w:sz w:val="22"/>
                <w:szCs w:val="22"/>
              </w:rPr>
            </w:pPr>
            <w:r w:rsidRPr="00025463">
              <w:rPr>
                <w:b/>
                <w:bCs/>
                <w:sz w:val="22"/>
                <w:szCs w:val="22"/>
                <w:lang w:val="lt-LT" w:eastAsia="lt-LT"/>
              </w:rPr>
              <w:t>Bendra pradinė vertė 7-ai pirkimo daliai EUR be PVM</w:t>
            </w:r>
          </w:p>
        </w:tc>
        <w:tc>
          <w:tcPr>
            <w:tcW w:w="1307" w:type="dxa"/>
            <w:vAlign w:val="center"/>
          </w:tcPr>
          <w:p w14:paraId="17750946" w14:textId="77777777" w:rsidR="004F459C" w:rsidRPr="00025463" w:rsidRDefault="004F459C" w:rsidP="00454FAD">
            <w:pPr>
              <w:jc w:val="both"/>
              <w:rPr>
                <w:sz w:val="22"/>
                <w:szCs w:val="22"/>
              </w:rPr>
            </w:pPr>
          </w:p>
        </w:tc>
        <w:tc>
          <w:tcPr>
            <w:tcW w:w="1525" w:type="dxa"/>
            <w:vAlign w:val="center"/>
          </w:tcPr>
          <w:p w14:paraId="7FF16FE8" w14:textId="54030CB5" w:rsidR="004F459C" w:rsidRPr="002451E5" w:rsidRDefault="004F459C" w:rsidP="00454FAD">
            <w:pPr>
              <w:jc w:val="both"/>
              <w:rPr>
                <w:b/>
                <w:bCs/>
                <w:sz w:val="22"/>
                <w:szCs w:val="22"/>
              </w:rPr>
            </w:pPr>
          </w:p>
        </w:tc>
      </w:tr>
      <w:tr w:rsidR="004F459C" w:rsidRPr="00025463" w14:paraId="03169E93" w14:textId="77777777" w:rsidTr="00454FAD">
        <w:trPr>
          <w:trHeight w:val="70"/>
        </w:trPr>
        <w:tc>
          <w:tcPr>
            <w:tcW w:w="13435" w:type="dxa"/>
            <w:gridSpan w:val="9"/>
            <w:vAlign w:val="center"/>
          </w:tcPr>
          <w:p w14:paraId="188D50EE" w14:textId="77777777" w:rsidR="004F459C" w:rsidRPr="00025463" w:rsidRDefault="004F459C" w:rsidP="00454FAD">
            <w:pPr>
              <w:jc w:val="right"/>
              <w:rPr>
                <w:sz w:val="22"/>
                <w:szCs w:val="22"/>
              </w:rPr>
            </w:pPr>
            <w:r w:rsidRPr="00025463">
              <w:rPr>
                <w:b/>
                <w:bCs/>
                <w:sz w:val="22"/>
                <w:szCs w:val="22"/>
                <w:lang w:val="lt-LT" w:eastAsia="lt-LT"/>
              </w:rPr>
              <w:t>PVM (</w:t>
            </w:r>
            <w:r>
              <w:rPr>
                <w:b/>
                <w:bCs/>
                <w:sz w:val="22"/>
                <w:szCs w:val="22"/>
                <w:lang w:val="lt-LT" w:eastAsia="lt-LT"/>
              </w:rPr>
              <w:t>21</w:t>
            </w:r>
            <w:r w:rsidRPr="00025463">
              <w:rPr>
                <w:b/>
                <w:bCs/>
                <w:sz w:val="22"/>
                <w:szCs w:val="22"/>
                <w:lang w:val="lt-LT" w:eastAsia="lt-LT"/>
              </w:rPr>
              <w:t>%) suma</w:t>
            </w:r>
          </w:p>
        </w:tc>
        <w:tc>
          <w:tcPr>
            <w:tcW w:w="1307" w:type="dxa"/>
            <w:vAlign w:val="center"/>
          </w:tcPr>
          <w:p w14:paraId="006678BB" w14:textId="77777777" w:rsidR="004F459C" w:rsidRPr="00025463" w:rsidRDefault="004F459C" w:rsidP="00454FAD">
            <w:pPr>
              <w:jc w:val="both"/>
              <w:rPr>
                <w:sz w:val="22"/>
                <w:szCs w:val="22"/>
              </w:rPr>
            </w:pPr>
          </w:p>
        </w:tc>
        <w:tc>
          <w:tcPr>
            <w:tcW w:w="1525" w:type="dxa"/>
            <w:vAlign w:val="center"/>
          </w:tcPr>
          <w:p w14:paraId="76324F3C" w14:textId="140B59B8" w:rsidR="004F459C" w:rsidRPr="002451E5" w:rsidRDefault="004F459C" w:rsidP="00454FAD">
            <w:pPr>
              <w:jc w:val="both"/>
              <w:rPr>
                <w:b/>
                <w:bCs/>
                <w:sz w:val="22"/>
                <w:szCs w:val="22"/>
              </w:rPr>
            </w:pPr>
          </w:p>
        </w:tc>
      </w:tr>
      <w:tr w:rsidR="004F459C" w:rsidRPr="00025463" w14:paraId="087DCA5C" w14:textId="77777777" w:rsidTr="00454FAD">
        <w:trPr>
          <w:trHeight w:val="70"/>
        </w:trPr>
        <w:tc>
          <w:tcPr>
            <w:tcW w:w="13435" w:type="dxa"/>
            <w:gridSpan w:val="9"/>
            <w:vAlign w:val="center"/>
          </w:tcPr>
          <w:p w14:paraId="15CE0CF3" w14:textId="77777777" w:rsidR="004F459C" w:rsidRPr="00025463" w:rsidRDefault="004F459C" w:rsidP="00454FAD">
            <w:pPr>
              <w:jc w:val="right"/>
              <w:rPr>
                <w:sz w:val="22"/>
                <w:szCs w:val="22"/>
              </w:rPr>
            </w:pPr>
            <w:r w:rsidRPr="00025463">
              <w:rPr>
                <w:b/>
                <w:bCs/>
                <w:sz w:val="22"/>
                <w:szCs w:val="22"/>
                <w:lang w:val="lt-LT" w:eastAsia="lt-LT"/>
              </w:rPr>
              <w:t>Sutarties kaina 7-ai pirkimo daliai EUR su PVM</w:t>
            </w:r>
          </w:p>
        </w:tc>
        <w:tc>
          <w:tcPr>
            <w:tcW w:w="1307" w:type="dxa"/>
            <w:vAlign w:val="center"/>
          </w:tcPr>
          <w:p w14:paraId="1CD38BD1" w14:textId="77777777" w:rsidR="004F459C" w:rsidRPr="00025463" w:rsidRDefault="004F459C" w:rsidP="00454FAD">
            <w:pPr>
              <w:jc w:val="both"/>
              <w:rPr>
                <w:sz w:val="22"/>
                <w:szCs w:val="22"/>
              </w:rPr>
            </w:pPr>
          </w:p>
        </w:tc>
        <w:tc>
          <w:tcPr>
            <w:tcW w:w="1525" w:type="dxa"/>
            <w:vAlign w:val="center"/>
          </w:tcPr>
          <w:p w14:paraId="7AA78A9E" w14:textId="127D92C8" w:rsidR="004F459C" w:rsidRPr="002451E5" w:rsidRDefault="004F459C" w:rsidP="00454FAD">
            <w:pPr>
              <w:jc w:val="both"/>
              <w:rPr>
                <w:b/>
                <w:bCs/>
                <w:sz w:val="22"/>
                <w:szCs w:val="22"/>
              </w:rPr>
            </w:pPr>
          </w:p>
        </w:tc>
      </w:tr>
      <w:tr w:rsidR="004F459C" w:rsidRPr="00025463" w14:paraId="32902605" w14:textId="77777777" w:rsidTr="00454FAD">
        <w:trPr>
          <w:trHeight w:val="70"/>
        </w:trPr>
        <w:tc>
          <w:tcPr>
            <w:tcW w:w="1130" w:type="dxa"/>
            <w:vAlign w:val="center"/>
          </w:tcPr>
          <w:p w14:paraId="5CC8E1BE"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19.</w:t>
            </w:r>
          </w:p>
        </w:tc>
        <w:tc>
          <w:tcPr>
            <w:tcW w:w="1848" w:type="dxa"/>
            <w:vAlign w:val="center"/>
          </w:tcPr>
          <w:p w14:paraId="21892A50" w14:textId="77777777" w:rsidR="004F459C" w:rsidRPr="00025463" w:rsidRDefault="004F459C" w:rsidP="00454FAD">
            <w:pPr>
              <w:rPr>
                <w:rFonts w:eastAsia="Times New Roman"/>
                <w:sz w:val="22"/>
                <w:szCs w:val="22"/>
                <w:lang w:eastAsia="lt-LT"/>
              </w:rPr>
            </w:pPr>
            <w:r w:rsidRPr="00A94D01">
              <w:rPr>
                <w:rFonts w:eastAsia="Times New Roman"/>
                <w:color w:val="000000"/>
                <w:bdr w:val="none" w:sz="0" w:space="0" w:color="auto"/>
                <w:lang w:val="lt-LT" w:eastAsia="lt-LT"/>
              </w:rPr>
              <w:t>Kablys</w:t>
            </w:r>
          </w:p>
        </w:tc>
        <w:tc>
          <w:tcPr>
            <w:tcW w:w="1984" w:type="dxa"/>
            <w:vAlign w:val="center"/>
          </w:tcPr>
          <w:p w14:paraId="2629154F" w14:textId="77777777" w:rsidR="004F459C" w:rsidRPr="00025463" w:rsidRDefault="004F459C" w:rsidP="00454FAD">
            <w:pPr>
              <w:rPr>
                <w:rFonts w:eastAsia="Times New Roman"/>
                <w:sz w:val="22"/>
                <w:szCs w:val="22"/>
                <w:lang w:eastAsia="lt-LT"/>
              </w:rPr>
            </w:pPr>
            <w:r w:rsidRPr="00A94D01">
              <w:rPr>
                <w:rFonts w:eastAsia="Times New Roman"/>
                <w:color w:val="000000"/>
                <w:bdr w:val="none" w:sz="0" w:space="0" w:color="auto"/>
                <w:lang w:val="lt-LT" w:eastAsia="lt-LT"/>
              </w:rPr>
              <w:t>Langenbeck-Green *, išmatavimai (gylis x plotis): (16x6)±0,5 mm, bendras ilgis 160±3 mm</w:t>
            </w:r>
          </w:p>
        </w:tc>
        <w:tc>
          <w:tcPr>
            <w:tcW w:w="992" w:type="dxa"/>
            <w:vAlign w:val="center"/>
          </w:tcPr>
          <w:p w14:paraId="11232DCD" w14:textId="77777777" w:rsidR="004F459C" w:rsidRPr="00025463" w:rsidRDefault="004F459C" w:rsidP="00454FAD">
            <w:pPr>
              <w:jc w:val="center"/>
              <w:rPr>
                <w:rFonts w:eastAsia="Times New Roman"/>
                <w:sz w:val="22"/>
                <w:szCs w:val="22"/>
                <w:lang w:eastAsia="lt-LT"/>
              </w:rPr>
            </w:pPr>
            <w:r w:rsidRPr="00A94D01">
              <w:rPr>
                <w:rFonts w:eastAsia="Times New Roman"/>
                <w:bdr w:val="none" w:sz="0" w:space="0" w:color="auto"/>
                <w:lang w:val="lt-LT" w:eastAsia="lt-LT"/>
              </w:rPr>
              <w:t>vnt.</w:t>
            </w:r>
          </w:p>
        </w:tc>
        <w:tc>
          <w:tcPr>
            <w:tcW w:w="1447" w:type="dxa"/>
            <w:vAlign w:val="center"/>
          </w:tcPr>
          <w:p w14:paraId="0DA0CA7F" w14:textId="77777777" w:rsidR="004F459C" w:rsidRPr="00025463" w:rsidRDefault="004F459C" w:rsidP="00454FAD">
            <w:pPr>
              <w:jc w:val="center"/>
              <w:rPr>
                <w:rFonts w:eastAsia="Times New Roman"/>
                <w:sz w:val="22"/>
                <w:szCs w:val="22"/>
                <w:lang w:eastAsia="lt-LT"/>
              </w:rPr>
            </w:pPr>
            <w:r w:rsidRPr="008C2661">
              <w:rPr>
                <w:rFonts w:eastAsia="Times New Roman"/>
                <w:bdr w:val="none" w:sz="0" w:space="0" w:color="auto"/>
                <w:lang w:val="lt-LT" w:eastAsia="lt-LT"/>
              </w:rPr>
              <w:t>10</w:t>
            </w:r>
          </w:p>
        </w:tc>
        <w:tc>
          <w:tcPr>
            <w:tcW w:w="1984" w:type="dxa"/>
            <w:vAlign w:val="center"/>
          </w:tcPr>
          <w:p w14:paraId="6C852660" w14:textId="77777777" w:rsidR="004F459C" w:rsidRPr="00025463" w:rsidRDefault="004F459C" w:rsidP="00454FAD">
            <w:pPr>
              <w:jc w:val="both"/>
              <w:rPr>
                <w:sz w:val="22"/>
                <w:szCs w:val="22"/>
              </w:rPr>
            </w:pPr>
            <w:r w:rsidRPr="00A94D01">
              <w:rPr>
                <w:rFonts w:eastAsia="Times New Roman"/>
                <w:color w:val="000000"/>
                <w:bdr w:val="none" w:sz="0" w:space="0" w:color="auto"/>
                <w:lang w:val="lt-LT" w:eastAsia="lt-LT"/>
              </w:rPr>
              <w:t>Langenbeck-Green*, išmatavimai (gylis x plotis): (1</w:t>
            </w:r>
            <w:r>
              <w:rPr>
                <w:rFonts w:eastAsia="Times New Roman"/>
                <w:color w:val="000000"/>
                <w:bdr w:val="none" w:sz="0" w:space="0" w:color="auto"/>
                <w:lang w:val="lt-LT" w:eastAsia="lt-LT"/>
              </w:rPr>
              <w:t>7</w:t>
            </w:r>
            <w:r w:rsidRPr="00A94D01">
              <w:rPr>
                <w:rFonts w:eastAsia="Times New Roman"/>
                <w:color w:val="000000"/>
                <w:bdr w:val="none" w:sz="0" w:space="0" w:color="auto"/>
                <w:lang w:val="lt-LT" w:eastAsia="lt-LT"/>
              </w:rPr>
              <w:t>x6) mm, bendras ilgis 160 mm</w:t>
            </w:r>
          </w:p>
        </w:tc>
        <w:tc>
          <w:tcPr>
            <w:tcW w:w="1813" w:type="dxa"/>
            <w:vAlign w:val="center"/>
          </w:tcPr>
          <w:p w14:paraId="4B1E3293" w14:textId="77777777" w:rsidR="004F459C" w:rsidRPr="0086447E" w:rsidRDefault="004F459C" w:rsidP="00454FAD">
            <w:pPr>
              <w:jc w:val="both"/>
              <w:rPr>
                <w:b/>
                <w:bCs/>
                <w:sz w:val="22"/>
                <w:szCs w:val="22"/>
              </w:rPr>
            </w:pPr>
            <w:r w:rsidRPr="0086447E">
              <w:rPr>
                <w:b/>
                <w:bCs/>
                <w:sz w:val="22"/>
                <w:szCs w:val="22"/>
              </w:rPr>
              <w:t>BQ.206.020</w:t>
            </w:r>
          </w:p>
        </w:tc>
        <w:tc>
          <w:tcPr>
            <w:tcW w:w="851" w:type="dxa"/>
            <w:vAlign w:val="center"/>
          </w:tcPr>
          <w:p w14:paraId="60871B6D" w14:textId="77777777" w:rsidR="004F459C" w:rsidRPr="00025463" w:rsidRDefault="004F459C" w:rsidP="00454FAD">
            <w:pPr>
              <w:jc w:val="both"/>
              <w:rPr>
                <w:sz w:val="22"/>
                <w:szCs w:val="22"/>
              </w:rPr>
            </w:pPr>
            <w:r w:rsidRPr="00025463">
              <w:rPr>
                <w:sz w:val="22"/>
                <w:szCs w:val="22"/>
              </w:rPr>
              <w:t>21%</w:t>
            </w:r>
          </w:p>
        </w:tc>
        <w:tc>
          <w:tcPr>
            <w:tcW w:w="1386" w:type="dxa"/>
            <w:vAlign w:val="center"/>
          </w:tcPr>
          <w:p w14:paraId="3A33FF43" w14:textId="77777777" w:rsidR="004F459C" w:rsidRPr="00025463" w:rsidRDefault="004F459C" w:rsidP="00454FAD">
            <w:pPr>
              <w:jc w:val="both"/>
              <w:rPr>
                <w:sz w:val="22"/>
                <w:szCs w:val="22"/>
              </w:rPr>
            </w:pPr>
            <w:r>
              <w:rPr>
                <w:sz w:val="22"/>
                <w:szCs w:val="22"/>
              </w:rPr>
              <w:t>10,88</w:t>
            </w:r>
          </w:p>
        </w:tc>
        <w:tc>
          <w:tcPr>
            <w:tcW w:w="1307" w:type="dxa"/>
            <w:vAlign w:val="center"/>
          </w:tcPr>
          <w:p w14:paraId="77D47EEF" w14:textId="77777777" w:rsidR="004F459C" w:rsidRPr="00025463" w:rsidRDefault="004F459C" w:rsidP="00454FAD">
            <w:pPr>
              <w:jc w:val="both"/>
              <w:rPr>
                <w:sz w:val="22"/>
                <w:szCs w:val="22"/>
              </w:rPr>
            </w:pPr>
            <w:r>
              <w:rPr>
                <w:sz w:val="22"/>
                <w:szCs w:val="22"/>
              </w:rPr>
              <w:t>13,16</w:t>
            </w:r>
          </w:p>
        </w:tc>
        <w:tc>
          <w:tcPr>
            <w:tcW w:w="1525" w:type="dxa"/>
            <w:vAlign w:val="center"/>
          </w:tcPr>
          <w:p w14:paraId="2E168F9C" w14:textId="77777777" w:rsidR="004F459C" w:rsidRPr="00025463" w:rsidRDefault="004F459C" w:rsidP="00454FAD">
            <w:pPr>
              <w:jc w:val="both"/>
              <w:rPr>
                <w:sz w:val="22"/>
                <w:szCs w:val="22"/>
              </w:rPr>
            </w:pPr>
            <w:r>
              <w:rPr>
                <w:sz w:val="22"/>
                <w:szCs w:val="22"/>
              </w:rPr>
              <w:t>108,80</w:t>
            </w:r>
          </w:p>
        </w:tc>
      </w:tr>
      <w:tr w:rsidR="004F459C" w:rsidRPr="00025463" w14:paraId="0D650AC0" w14:textId="77777777" w:rsidTr="00454FAD">
        <w:trPr>
          <w:trHeight w:val="70"/>
        </w:trPr>
        <w:tc>
          <w:tcPr>
            <w:tcW w:w="13435" w:type="dxa"/>
            <w:gridSpan w:val="9"/>
            <w:vAlign w:val="center"/>
          </w:tcPr>
          <w:p w14:paraId="5F0F5931" w14:textId="77777777" w:rsidR="004F459C" w:rsidRPr="00025463" w:rsidRDefault="004F459C" w:rsidP="00454FAD">
            <w:pPr>
              <w:jc w:val="right"/>
              <w:rPr>
                <w:sz w:val="22"/>
                <w:szCs w:val="22"/>
              </w:rPr>
            </w:pPr>
            <w:r w:rsidRPr="00025463">
              <w:rPr>
                <w:b/>
                <w:bCs/>
                <w:sz w:val="22"/>
                <w:szCs w:val="22"/>
                <w:lang w:val="lt-LT" w:eastAsia="lt-LT"/>
              </w:rPr>
              <w:lastRenderedPageBreak/>
              <w:t>Bendra pradinė vertė 19-ai pirkimo daliai EUR be PVM</w:t>
            </w:r>
          </w:p>
        </w:tc>
        <w:tc>
          <w:tcPr>
            <w:tcW w:w="1307" w:type="dxa"/>
            <w:vAlign w:val="center"/>
          </w:tcPr>
          <w:p w14:paraId="6ADDA2A9" w14:textId="77777777" w:rsidR="004F459C" w:rsidRPr="00025463" w:rsidRDefault="004F459C" w:rsidP="00454FAD">
            <w:pPr>
              <w:jc w:val="both"/>
              <w:rPr>
                <w:sz w:val="22"/>
                <w:szCs w:val="22"/>
              </w:rPr>
            </w:pPr>
          </w:p>
        </w:tc>
        <w:tc>
          <w:tcPr>
            <w:tcW w:w="1525" w:type="dxa"/>
            <w:vAlign w:val="center"/>
          </w:tcPr>
          <w:p w14:paraId="53B622E2" w14:textId="77777777" w:rsidR="004F459C" w:rsidRPr="0086447E" w:rsidRDefault="004F459C" w:rsidP="00454FAD">
            <w:pPr>
              <w:jc w:val="both"/>
              <w:rPr>
                <w:b/>
                <w:bCs/>
                <w:sz w:val="22"/>
                <w:szCs w:val="22"/>
              </w:rPr>
            </w:pPr>
            <w:r w:rsidRPr="0086447E">
              <w:rPr>
                <w:b/>
                <w:bCs/>
                <w:sz w:val="22"/>
                <w:szCs w:val="22"/>
              </w:rPr>
              <w:t>108,80</w:t>
            </w:r>
          </w:p>
        </w:tc>
      </w:tr>
      <w:tr w:rsidR="004F459C" w:rsidRPr="00025463" w14:paraId="0C6207E7" w14:textId="77777777" w:rsidTr="00454FAD">
        <w:trPr>
          <w:trHeight w:val="70"/>
        </w:trPr>
        <w:tc>
          <w:tcPr>
            <w:tcW w:w="13435" w:type="dxa"/>
            <w:gridSpan w:val="9"/>
            <w:vAlign w:val="center"/>
          </w:tcPr>
          <w:p w14:paraId="785A28A3" w14:textId="77777777" w:rsidR="004F459C" w:rsidRPr="00025463" w:rsidRDefault="004F459C" w:rsidP="00454FAD">
            <w:pPr>
              <w:jc w:val="right"/>
              <w:rPr>
                <w:sz w:val="22"/>
                <w:szCs w:val="22"/>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suma</w:t>
            </w:r>
          </w:p>
        </w:tc>
        <w:tc>
          <w:tcPr>
            <w:tcW w:w="1307" w:type="dxa"/>
            <w:vAlign w:val="center"/>
          </w:tcPr>
          <w:p w14:paraId="35D5DA98" w14:textId="77777777" w:rsidR="004F459C" w:rsidRPr="00025463" w:rsidRDefault="004F459C" w:rsidP="00454FAD">
            <w:pPr>
              <w:jc w:val="both"/>
              <w:rPr>
                <w:sz w:val="22"/>
                <w:szCs w:val="22"/>
              </w:rPr>
            </w:pPr>
          </w:p>
        </w:tc>
        <w:tc>
          <w:tcPr>
            <w:tcW w:w="1525" w:type="dxa"/>
            <w:vAlign w:val="center"/>
          </w:tcPr>
          <w:p w14:paraId="682FC9EA" w14:textId="77777777" w:rsidR="004F459C" w:rsidRPr="0086447E" w:rsidRDefault="004F459C" w:rsidP="00454FAD">
            <w:pPr>
              <w:jc w:val="both"/>
              <w:rPr>
                <w:b/>
                <w:bCs/>
                <w:sz w:val="22"/>
                <w:szCs w:val="22"/>
              </w:rPr>
            </w:pPr>
            <w:r w:rsidRPr="0086447E">
              <w:rPr>
                <w:b/>
                <w:bCs/>
                <w:sz w:val="22"/>
                <w:szCs w:val="22"/>
              </w:rPr>
              <w:t xml:space="preserve"> 22,85</w:t>
            </w:r>
          </w:p>
        </w:tc>
      </w:tr>
      <w:tr w:rsidR="004F459C" w:rsidRPr="00025463" w14:paraId="33177B4F" w14:textId="77777777" w:rsidTr="00454FAD">
        <w:trPr>
          <w:trHeight w:val="70"/>
        </w:trPr>
        <w:tc>
          <w:tcPr>
            <w:tcW w:w="13435" w:type="dxa"/>
            <w:gridSpan w:val="9"/>
            <w:vAlign w:val="center"/>
          </w:tcPr>
          <w:p w14:paraId="27D5DFFE" w14:textId="77777777" w:rsidR="004F459C" w:rsidRPr="00025463" w:rsidRDefault="004F459C" w:rsidP="00454FAD">
            <w:pPr>
              <w:jc w:val="right"/>
              <w:rPr>
                <w:sz w:val="22"/>
                <w:szCs w:val="22"/>
              </w:rPr>
            </w:pPr>
            <w:r w:rsidRPr="00025463">
              <w:rPr>
                <w:b/>
                <w:bCs/>
                <w:sz w:val="22"/>
                <w:szCs w:val="22"/>
                <w:lang w:val="lt-LT" w:eastAsia="lt-LT"/>
              </w:rPr>
              <w:t>Sutarties kaina 19-ai pirkimo daliai EUR su PVM</w:t>
            </w:r>
          </w:p>
        </w:tc>
        <w:tc>
          <w:tcPr>
            <w:tcW w:w="1307" w:type="dxa"/>
            <w:vAlign w:val="center"/>
          </w:tcPr>
          <w:p w14:paraId="52FEDA28" w14:textId="77777777" w:rsidR="004F459C" w:rsidRPr="00025463" w:rsidRDefault="004F459C" w:rsidP="00454FAD">
            <w:pPr>
              <w:jc w:val="both"/>
              <w:rPr>
                <w:sz w:val="22"/>
                <w:szCs w:val="22"/>
              </w:rPr>
            </w:pPr>
          </w:p>
        </w:tc>
        <w:tc>
          <w:tcPr>
            <w:tcW w:w="1525" w:type="dxa"/>
            <w:vAlign w:val="center"/>
          </w:tcPr>
          <w:p w14:paraId="160403EE" w14:textId="77777777" w:rsidR="004F459C" w:rsidRPr="0086447E" w:rsidRDefault="004F459C" w:rsidP="00454FAD">
            <w:pPr>
              <w:jc w:val="both"/>
              <w:rPr>
                <w:b/>
                <w:bCs/>
                <w:sz w:val="22"/>
                <w:szCs w:val="22"/>
              </w:rPr>
            </w:pPr>
            <w:r w:rsidRPr="0086447E">
              <w:rPr>
                <w:b/>
                <w:bCs/>
                <w:sz w:val="22"/>
                <w:szCs w:val="22"/>
              </w:rPr>
              <w:t>131,65</w:t>
            </w:r>
          </w:p>
        </w:tc>
      </w:tr>
      <w:tr w:rsidR="004F459C" w:rsidRPr="00025463" w14:paraId="1B4CF7DB" w14:textId="77777777" w:rsidTr="00454FAD">
        <w:trPr>
          <w:trHeight w:val="70"/>
        </w:trPr>
        <w:tc>
          <w:tcPr>
            <w:tcW w:w="1130" w:type="dxa"/>
            <w:vAlign w:val="center"/>
          </w:tcPr>
          <w:p w14:paraId="26E241DE"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27.</w:t>
            </w:r>
          </w:p>
        </w:tc>
        <w:tc>
          <w:tcPr>
            <w:tcW w:w="1848" w:type="dxa"/>
            <w:vAlign w:val="center"/>
          </w:tcPr>
          <w:p w14:paraId="5105B604"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Pincetas</w:t>
            </w:r>
          </w:p>
        </w:tc>
        <w:tc>
          <w:tcPr>
            <w:tcW w:w="1984" w:type="dxa"/>
            <w:vAlign w:val="center"/>
          </w:tcPr>
          <w:p w14:paraId="6324A585"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Adson*, anatominis, bajonetinis, kryžmiškai dantytos darbinės dalys su karbido įdėklais, 120±3 mm ilgio</w:t>
            </w:r>
          </w:p>
        </w:tc>
        <w:tc>
          <w:tcPr>
            <w:tcW w:w="992" w:type="dxa"/>
            <w:vAlign w:val="center"/>
          </w:tcPr>
          <w:p w14:paraId="0FEED901"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5907AE3D"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60</w:t>
            </w:r>
          </w:p>
        </w:tc>
        <w:tc>
          <w:tcPr>
            <w:tcW w:w="1984" w:type="dxa"/>
            <w:vAlign w:val="center"/>
          </w:tcPr>
          <w:p w14:paraId="16B440D1" w14:textId="45CCFB8E" w:rsidR="004F459C" w:rsidRPr="00025463" w:rsidRDefault="004F459C" w:rsidP="00454FAD">
            <w:pPr>
              <w:jc w:val="both"/>
              <w:rPr>
                <w:sz w:val="22"/>
                <w:szCs w:val="22"/>
              </w:rPr>
            </w:pPr>
          </w:p>
        </w:tc>
        <w:tc>
          <w:tcPr>
            <w:tcW w:w="1813" w:type="dxa"/>
            <w:vAlign w:val="center"/>
          </w:tcPr>
          <w:p w14:paraId="204BD247" w14:textId="36C52FF1" w:rsidR="004F459C" w:rsidRPr="00C57630" w:rsidRDefault="004F459C" w:rsidP="00454FAD">
            <w:pPr>
              <w:jc w:val="both"/>
              <w:rPr>
                <w:sz w:val="22"/>
                <w:szCs w:val="22"/>
              </w:rPr>
            </w:pPr>
          </w:p>
        </w:tc>
        <w:tc>
          <w:tcPr>
            <w:tcW w:w="851" w:type="dxa"/>
            <w:vAlign w:val="center"/>
          </w:tcPr>
          <w:p w14:paraId="17CE9ECD" w14:textId="0B0415CE" w:rsidR="004F459C" w:rsidRPr="00025463" w:rsidRDefault="004F459C" w:rsidP="00454FAD">
            <w:pPr>
              <w:jc w:val="both"/>
              <w:rPr>
                <w:sz w:val="22"/>
                <w:szCs w:val="22"/>
              </w:rPr>
            </w:pPr>
          </w:p>
        </w:tc>
        <w:tc>
          <w:tcPr>
            <w:tcW w:w="1386" w:type="dxa"/>
            <w:vAlign w:val="center"/>
          </w:tcPr>
          <w:p w14:paraId="6CAECA01" w14:textId="5611FC2C" w:rsidR="004F459C" w:rsidRPr="00025463" w:rsidRDefault="004F459C" w:rsidP="00454FAD">
            <w:pPr>
              <w:jc w:val="both"/>
              <w:rPr>
                <w:sz w:val="22"/>
                <w:szCs w:val="22"/>
              </w:rPr>
            </w:pPr>
          </w:p>
        </w:tc>
        <w:tc>
          <w:tcPr>
            <w:tcW w:w="1307" w:type="dxa"/>
            <w:vAlign w:val="center"/>
          </w:tcPr>
          <w:p w14:paraId="088876A9" w14:textId="16D2FEEB" w:rsidR="004F459C" w:rsidRPr="00025463" w:rsidRDefault="004F459C" w:rsidP="00454FAD">
            <w:pPr>
              <w:jc w:val="both"/>
              <w:rPr>
                <w:sz w:val="22"/>
                <w:szCs w:val="22"/>
              </w:rPr>
            </w:pPr>
          </w:p>
        </w:tc>
        <w:tc>
          <w:tcPr>
            <w:tcW w:w="1525" w:type="dxa"/>
            <w:vAlign w:val="center"/>
          </w:tcPr>
          <w:p w14:paraId="763CF341" w14:textId="62B00C41" w:rsidR="004F459C" w:rsidRPr="00025463" w:rsidRDefault="004F459C" w:rsidP="00454FAD">
            <w:pPr>
              <w:jc w:val="both"/>
              <w:rPr>
                <w:sz w:val="22"/>
                <w:szCs w:val="22"/>
              </w:rPr>
            </w:pPr>
          </w:p>
        </w:tc>
      </w:tr>
      <w:tr w:rsidR="004F459C" w:rsidRPr="00025463" w14:paraId="0DB229A4" w14:textId="77777777" w:rsidTr="00454FAD">
        <w:trPr>
          <w:trHeight w:val="70"/>
        </w:trPr>
        <w:tc>
          <w:tcPr>
            <w:tcW w:w="13435" w:type="dxa"/>
            <w:gridSpan w:val="9"/>
            <w:vAlign w:val="center"/>
          </w:tcPr>
          <w:p w14:paraId="72CD4E1E" w14:textId="77777777" w:rsidR="004F459C" w:rsidRPr="00025463" w:rsidRDefault="004F459C" w:rsidP="00454FAD">
            <w:pPr>
              <w:jc w:val="right"/>
              <w:rPr>
                <w:sz w:val="22"/>
                <w:szCs w:val="22"/>
              </w:rPr>
            </w:pPr>
            <w:r w:rsidRPr="00025463">
              <w:rPr>
                <w:b/>
                <w:bCs/>
                <w:sz w:val="22"/>
                <w:szCs w:val="22"/>
                <w:lang w:val="lt-LT" w:eastAsia="lt-LT"/>
              </w:rPr>
              <w:t>Bendra pradinė vertė 27-ai pirkimo daliai EUR be PVM</w:t>
            </w:r>
          </w:p>
        </w:tc>
        <w:tc>
          <w:tcPr>
            <w:tcW w:w="1307" w:type="dxa"/>
            <w:vAlign w:val="center"/>
          </w:tcPr>
          <w:p w14:paraId="493AD2A1" w14:textId="77777777" w:rsidR="004F459C" w:rsidRPr="00025463" w:rsidRDefault="004F459C" w:rsidP="00454FAD">
            <w:pPr>
              <w:jc w:val="both"/>
              <w:rPr>
                <w:sz w:val="22"/>
                <w:szCs w:val="22"/>
              </w:rPr>
            </w:pPr>
          </w:p>
        </w:tc>
        <w:tc>
          <w:tcPr>
            <w:tcW w:w="1525" w:type="dxa"/>
            <w:vAlign w:val="center"/>
          </w:tcPr>
          <w:p w14:paraId="70AF3C88" w14:textId="378A4707" w:rsidR="004F459C" w:rsidRPr="005E69CB" w:rsidRDefault="004F459C" w:rsidP="00454FAD">
            <w:pPr>
              <w:jc w:val="both"/>
              <w:rPr>
                <w:b/>
                <w:bCs/>
                <w:sz w:val="22"/>
                <w:szCs w:val="22"/>
              </w:rPr>
            </w:pPr>
          </w:p>
        </w:tc>
      </w:tr>
      <w:tr w:rsidR="004F459C" w:rsidRPr="00025463" w14:paraId="47F158E8" w14:textId="77777777" w:rsidTr="00454FAD">
        <w:trPr>
          <w:trHeight w:val="70"/>
        </w:trPr>
        <w:tc>
          <w:tcPr>
            <w:tcW w:w="13435" w:type="dxa"/>
            <w:gridSpan w:val="9"/>
            <w:vAlign w:val="center"/>
          </w:tcPr>
          <w:p w14:paraId="06F4325A" w14:textId="77777777" w:rsidR="004F459C" w:rsidRPr="00025463" w:rsidRDefault="004F459C" w:rsidP="00454FAD">
            <w:pPr>
              <w:jc w:val="right"/>
              <w:rPr>
                <w:sz w:val="22"/>
                <w:szCs w:val="22"/>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suma</w:t>
            </w:r>
          </w:p>
        </w:tc>
        <w:tc>
          <w:tcPr>
            <w:tcW w:w="1307" w:type="dxa"/>
            <w:vAlign w:val="center"/>
          </w:tcPr>
          <w:p w14:paraId="613C5BE5" w14:textId="77777777" w:rsidR="004F459C" w:rsidRPr="00025463" w:rsidRDefault="004F459C" w:rsidP="00454FAD">
            <w:pPr>
              <w:jc w:val="both"/>
              <w:rPr>
                <w:sz w:val="22"/>
                <w:szCs w:val="22"/>
              </w:rPr>
            </w:pPr>
          </w:p>
        </w:tc>
        <w:tc>
          <w:tcPr>
            <w:tcW w:w="1525" w:type="dxa"/>
            <w:vAlign w:val="center"/>
          </w:tcPr>
          <w:p w14:paraId="639E38AE" w14:textId="4ED3A039" w:rsidR="004F459C" w:rsidRPr="005E69CB" w:rsidRDefault="004F459C" w:rsidP="00454FAD">
            <w:pPr>
              <w:jc w:val="both"/>
              <w:rPr>
                <w:b/>
                <w:bCs/>
                <w:sz w:val="22"/>
                <w:szCs w:val="22"/>
              </w:rPr>
            </w:pPr>
          </w:p>
        </w:tc>
      </w:tr>
      <w:tr w:rsidR="004F459C" w:rsidRPr="00025463" w14:paraId="2BB4DA19" w14:textId="77777777" w:rsidTr="00454FAD">
        <w:trPr>
          <w:trHeight w:val="70"/>
        </w:trPr>
        <w:tc>
          <w:tcPr>
            <w:tcW w:w="13435" w:type="dxa"/>
            <w:gridSpan w:val="9"/>
            <w:vAlign w:val="center"/>
          </w:tcPr>
          <w:p w14:paraId="10EC9320" w14:textId="77777777" w:rsidR="004F459C" w:rsidRPr="00025463" w:rsidRDefault="004F459C" w:rsidP="00454FAD">
            <w:pPr>
              <w:jc w:val="right"/>
              <w:rPr>
                <w:sz w:val="22"/>
                <w:szCs w:val="22"/>
              </w:rPr>
            </w:pPr>
            <w:r w:rsidRPr="00025463">
              <w:rPr>
                <w:b/>
                <w:bCs/>
                <w:sz w:val="22"/>
                <w:szCs w:val="22"/>
                <w:lang w:val="lt-LT" w:eastAsia="lt-LT"/>
              </w:rPr>
              <w:t>Sutarties kaina 27-ai pirkimo daliai EUR su PVM</w:t>
            </w:r>
          </w:p>
        </w:tc>
        <w:tc>
          <w:tcPr>
            <w:tcW w:w="1307" w:type="dxa"/>
            <w:vAlign w:val="center"/>
          </w:tcPr>
          <w:p w14:paraId="5ED4FA1B" w14:textId="77777777" w:rsidR="004F459C" w:rsidRPr="00025463" w:rsidRDefault="004F459C" w:rsidP="00454FAD">
            <w:pPr>
              <w:jc w:val="both"/>
              <w:rPr>
                <w:sz w:val="22"/>
                <w:szCs w:val="22"/>
              </w:rPr>
            </w:pPr>
          </w:p>
        </w:tc>
        <w:tc>
          <w:tcPr>
            <w:tcW w:w="1525" w:type="dxa"/>
            <w:vAlign w:val="center"/>
          </w:tcPr>
          <w:p w14:paraId="2B8BC297" w14:textId="27B68BE4" w:rsidR="004F459C" w:rsidRPr="005E69CB" w:rsidRDefault="004F459C" w:rsidP="00454FAD">
            <w:pPr>
              <w:jc w:val="both"/>
              <w:rPr>
                <w:b/>
                <w:bCs/>
                <w:sz w:val="22"/>
                <w:szCs w:val="22"/>
              </w:rPr>
            </w:pPr>
          </w:p>
        </w:tc>
      </w:tr>
      <w:tr w:rsidR="004F459C" w:rsidRPr="00025463" w14:paraId="4232CC8D" w14:textId="77777777" w:rsidTr="00454FAD">
        <w:trPr>
          <w:trHeight w:val="70"/>
        </w:trPr>
        <w:tc>
          <w:tcPr>
            <w:tcW w:w="1130" w:type="dxa"/>
            <w:vAlign w:val="center"/>
          </w:tcPr>
          <w:p w14:paraId="541FB03F"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29.</w:t>
            </w:r>
          </w:p>
        </w:tc>
        <w:tc>
          <w:tcPr>
            <w:tcW w:w="1848" w:type="dxa"/>
            <w:vAlign w:val="center"/>
          </w:tcPr>
          <w:p w14:paraId="5EB93F72"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Pincetas</w:t>
            </w:r>
          </w:p>
        </w:tc>
        <w:tc>
          <w:tcPr>
            <w:tcW w:w="1984" w:type="dxa"/>
            <w:vAlign w:val="center"/>
          </w:tcPr>
          <w:p w14:paraId="03C3DB19"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Gerald*, chirurginis, 1x2, su smeigu ir kiauryme, 175±3 mm</w:t>
            </w:r>
          </w:p>
        </w:tc>
        <w:tc>
          <w:tcPr>
            <w:tcW w:w="992" w:type="dxa"/>
            <w:vAlign w:val="center"/>
          </w:tcPr>
          <w:p w14:paraId="0BB90A07"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54C26E02"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30</w:t>
            </w:r>
          </w:p>
        </w:tc>
        <w:tc>
          <w:tcPr>
            <w:tcW w:w="1984" w:type="dxa"/>
            <w:vAlign w:val="center"/>
          </w:tcPr>
          <w:p w14:paraId="420316CC" w14:textId="5A01736D" w:rsidR="004F459C" w:rsidRPr="00025463" w:rsidRDefault="004F459C" w:rsidP="00454FAD">
            <w:pPr>
              <w:jc w:val="both"/>
              <w:rPr>
                <w:sz w:val="22"/>
                <w:szCs w:val="22"/>
              </w:rPr>
            </w:pPr>
          </w:p>
        </w:tc>
        <w:tc>
          <w:tcPr>
            <w:tcW w:w="1813" w:type="dxa"/>
            <w:vAlign w:val="center"/>
          </w:tcPr>
          <w:p w14:paraId="681CF2D1" w14:textId="16B28769" w:rsidR="004F459C" w:rsidRPr="0079229E" w:rsidRDefault="004F459C" w:rsidP="00454FAD">
            <w:pPr>
              <w:jc w:val="both"/>
              <w:rPr>
                <w:sz w:val="22"/>
                <w:szCs w:val="22"/>
              </w:rPr>
            </w:pPr>
          </w:p>
        </w:tc>
        <w:tc>
          <w:tcPr>
            <w:tcW w:w="851" w:type="dxa"/>
            <w:vAlign w:val="center"/>
          </w:tcPr>
          <w:p w14:paraId="399C30BD" w14:textId="6EA3A309" w:rsidR="004F459C" w:rsidRPr="00025463" w:rsidRDefault="004F459C" w:rsidP="00454FAD">
            <w:pPr>
              <w:jc w:val="both"/>
              <w:rPr>
                <w:sz w:val="22"/>
                <w:szCs w:val="22"/>
              </w:rPr>
            </w:pPr>
          </w:p>
        </w:tc>
        <w:tc>
          <w:tcPr>
            <w:tcW w:w="1386" w:type="dxa"/>
            <w:vAlign w:val="center"/>
          </w:tcPr>
          <w:p w14:paraId="3806A352" w14:textId="63DB499B" w:rsidR="004F459C" w:rsidRPr="00025463" w:rsidRDefault="004F459C" w:rsidP="00454FAD">
            <w:pPr>
              <w:jc w:val="both"/>
              <w:rPr>
                <w:sz w:val="22"/>
                <w:szCs w:val="22"/>
              </w:rPr>
            </w:pPr>
          </w:p>
        </w:tc>
        <w:tc>
          <w:tcPr>
            <w:tcW w:w="1307" w:type="dxa"/>
            <w:vAlign w:val="center"/>
          </w:tcPr>
          <w:p w14:paraId="71B44067" w14:textId="1B668415" w:rsidR="004F459C" w:rsidRPr="00025463" w:rsidRDefault="004F459C" w:rsidP="00454FAD">
            <w:pPr>
              <w:jc w:val="both"/>
              <w:rPr>
                <w:sz w:val="22"/>
                <w:szCs w:val="22"/>
              </w:rPr>
            </w:pPr>
          </w:p>
        </w:tc>
        <w:tc>
          <w:tcPr>
            <w:tcW w:w="1525" w:type="dxa"/>
            <w:vAlign w:val="center"/>
          </w:tcPr>
          <w:p w14:paraId="2B17916D" w14:textId="212173DC" w:rsidR="004F459C" w:rsidRPr="00025463" w:rsidRDefault="004F459C" w:rsidP="00454FAD">
            <w:pPr>
              <w:jc w:val="both"/>
              <w:rPr>
                <w:sz w:val="22"/>
                <w:szCs w:val="22"/>
              </w:rPr>
            </w:pPr>
          </w:p>
        </w:tc>
      </w:tr>
      <w:tr w:rsidR="004F459C" w:rsidRPr="00025463" w14:paraId="6B58FBE8" w14:textId="77777777" w:rsidTr="00454FAD">
        <w:trPr>
          <w:trHeight w:val="70"/>
        </w:trPr>
        <w:tc>
          <w:tcPr>
            <w:tcW w:w="13435" w:type="dxa"/>
            <w:gridSpan w:val="9"/>
            <w:vAlign w:val="center"/>
          </w:tcPr>
          <w:p w14:paraId="31DE21C7" w14:textId="77777777" w:rsidR="004F459C" w:rsidRPr="00025463" w:rsidRDefault="004F459C" w:rsidP="00454FAD">
            <w:pPr>
              <w:jc w:val="right"/>
              <w:rPr>
                <w:sz w:val="22"/>
                <w:szCs w:val="22"/>
              </w:rPr>
            </w:pPr>
            <w:r w:rsidRPr="00025463">
              <w:rPr>
                <w:b/>
                <w:bCs/>
                <w:sz w:val="22"/>
                <w:szCs w:val="22"/>
                <w:lang w:val="lt-LT" w:eastAsia="lt-LT"/>
              </w:rPr>
              <w:t>Bendra pradinė vertė 29-ai pirkimo daliai EUR be PVM</w:t>
            </w:r>
          </w:p>
        </w:tc>
        <w:tc>
          <w:tcPr>
            <w:tcW w:w="1307" w:type="dxa"/>
            <w:vAlign w:val="center"/>
          </w:tcPr>
          <w:p w14:paraId="31C29FFE" w14:textId="77777777" w:rsidR="004F459C" w:rsidRPr="00025463" w:rsidRDefault="004F459C" w:rsidP="00454FAD">
            <w:pPr>
              <w:jc w:val="both"/>
              <w:rPr>
                <w:sz w:val="22"/>
                <w:szCs w:val="22"/>
              </w:rPr>
            </w:pPr>
          </w:p>
        </w:tc>
        <w:tc>
          <w:tcPr>
            <w:tcW w:w="1525" w:type="dxa"/>
            <w:vAlign w:val="center"/>
          </w:tcPr>
          <w:p w14:paraId="12809ECE" w14:textId="46E5E635" w:rsidR="004F459C" w:rsidRPr="0079229E" w:rsidRDefault="004F459C" w:rsidP="00454FAD">
            <w:pPr>
              <w:jc w:val="both"/>
              <w:rPr>
                <w:b/>
                <w:bCs/>
                <w:sz w:val="22"/>
                <w:szCs w:val="22"/>
              </w:rPr>
            </w:pPr>
          </w:p>
        </w:tc>
      </w:tr>
      <w:tr w:rsidR="004F459C" w:rsidRPr="00025463" w14:paraId="5C946D81" w14:textId="77777777" w:rsidTr="00454FAD">
        <w:trPr>
          <w:trHeight w:val="70"/>
        </w:trPr>
        <w:tc>
          <w:tcPr>
            <w:tcW w:w="13435" w:type="dxa"/>
            <w:gridSpan w:val="9"/>
            <w:vAlign w:val="center"/>
          </w:tcPr>
          <w:p w14:paraId="4FC4E087" w14:textId="77777777" w:rsidR="004F459C" w:rsidRPr="00025463" w:rsidRDefault="004F459C" w:rsidP="00454FAD">
            <w:pPr>
              <w:jc w:val="right"/>
              <w:rPr>
                <w:sz w:val="22"/>
                <w:szCs w:val="22"/>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suma</w:t>
            </w:r>
          </w:p>
        </w:tc>
        <w:tc>
          <w:tcPr>
            <w:tcW w:w="1307" w:type="dxa"/>
            <w:vAlign w:val="center"/>
          </w:tcPr>
          <w:p w14:paraId="4EE66E96" w14:textId="77777777" w:rsidR="004F459C" w:rsidRPr="00025463" w:rsidRDefault="004F459C" w:rsidP="00454FAD">
            <w:pPr>
              <w:jc w:val="both"/>
              <w:rPr>
                <w:sz w:val="22"/>
                <w:szCs w:val="22"/>
              </w:rPr>
            </w:pPr>
          </w:p>
        </w:tc>
        <w:tc>
          <w:tcPr>
            <w:tcW w:w="1525" w:type="dxa"/>
            <w:vAlign w:val="center"/>
          </w:tcPr>
          <w:p w14:paraId="792D5EA2" w14:textId="7CBD4B27" w:rsidR="004F459C" w:rsidRPr="0079229E" w:rsidRDefault="004F459C" w:rsidP="00454FAD">
            <w:pPr>
              <w:jc w:val="both"/>
              <w:rPr>
                <w:b/>
                <w:bCs/>
                <w:sz w:val="22"/>
                <w:szCs w:val="22"/>
              </w:rPr>
            </w:pPr>
          </w:p>
        </w:tc>
      </w:tr>
      <w:tr w:rsidR="004F459C" w:rsidRPr="00025463" w14:paraId="1133558C" w14:textId="77777777" w:rsidTr="00454FAD">
        <w:trPr>
          <w:trHeight w:val="70"/>
        </w:trPr>
        <w:tc>
          <w:tcPr>
            <w:tcW w:w="13435" w:type="dxa"/>
            <w:gridSpan w:val="9"/>
            <w:vAlign w:val="center"/>
          </w:tcPr>
          <w:p w14:paraId="4539C30F" w14:textId="77777777" w:rsidR="004F459C" w:rsidRPr="00025463" w:rsidRDefault="004F459C" w:rsidP="00454FAD">
            <w:pPr>
              <w:jc w:val="right"/>
              <w:rPr>
                <w:sz w:val="22"/>
                <w:szCs w:val="22"/>
              </w:rPr>
            </w:pPr>
            <w:r w:rsidRPr="00025463">
              <w:rPr>
                <w:b/>
                <w:bCs/>
                <w:sz w:val="22"/>
                <w:szCs w:val="22"/>
                <w:lang w:val="lt-LT" w:eastAsia="lt-LT"/>
              </w:rPr>
              <w:t>Sutarties kaina 29-ai pirkimo daliai EUR su PVM</w:t>
            </w:r>
          </w:p>
        </w:tc>
        <w:tc>
          <w:tcPr>
            <w:tcW w:w="1307" w:type="dxa"/>
            <w:vAlign w:val="center"/>
          </w:tcPr>
          <w:p w14:paraId="53FCDE14" w14:textId="77777777" w:rsidR="004F459C" w:rsidRPr="00025463" w:rsidRDefault="004F459C" w:rsidP="00454FAD">
            <w:pPr>
              <w:jc w:val="both"/>
              <w:rPr>
                <w:sz w:val="22"/>
                <w:szCs w:val="22"/>
              </w:rPr>
            </w:pPr>
          </w:p>
        </w:tc>
        <w:tc>
          <w:tcPr>
            <w:tcW w:w="1525" w:type="dxa"/>
            <w:vAlign w:val="center"/>
          </w:tcPr>
          <w:p w14:paraId="26E097FC" w14:textId="04F91773" w:rsidR="004F459C" w:rsidRPr="0079229E" w:rsidRDefault="004F459C" w:rsidP="00454FAD">
            <w:pPr>
              <w:jc w:val="both"/>
              <w:rPr>
                <w:b/>
                <w:bCs/>
                <w:sz w:val="22"/>
                <w:szCs w:val="22"/>
              </w:rPr>
            </w:pPr>
          </w:p>
        </w:tc>
      </w:tr>
      <w:tr w:rsidR="004F459C" w:rsidRPr="00025463" w14:paraId="30024290" w14:textId="77777777" w:rsidTr="00454FAD">
        <w:trPr>
          <w:trHeight w:val="70"/>
        </w:trPr>
        <w:tc>
          <w:tcPr>
            <w:tcW w:w="1130" w:type="dxa"/>
            <w:vAlign w:val="center"/>
          </w:tcPr>
          <w:p w14:paraId="79659BC5"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30.</w:t>
            </w:r>
          </w:p>
        </w:tc>
        <w:tc>
          <w:tcPr>
            <w:tcW w:w="1848" w:type="dxa"/>
            <w:vAlign w:val="center"/>
          </w:tcPr>
          <w:p w14:paraId="4A15D272"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Pincetas</w:t>
            </w:r>
          </w:p>
        </w:tc>
        <w:tc>
          <w:tcPr>
            <w:tcW w:w="1984" w:type="dxa"/>
            <w:vAlign w:val="center"/>
          </w:tcPr>
          <w:p w14:paraId="42373F3F"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Waugh*, chirurginis, 1x2, 180±3 mm</w:t>
            </w:r>
          </w:p>
        </w:tc>
        <w:tc>
          <w:tcPr>
            <w:tcW w:w="992" w:type="dxa"/>
            <w:vAlign w:val="center"/>
          </w:tcPr>
          <w:p w14:paraId="5C8239F0"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0AF5952A"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40</w:t>
            </w:r>
          </w:p>
        </w:tc>
        <w:tc>
          <w:tcPr>
            <w:tcW w:w="1984" w:type="dxa"/>
            <w:vAlign w:val="center"/>
          </w:tcPr>
          <w:p w14:paraId="0A683218" w14:textId="42EEA015" w:rsidR="004F459C" w:rsidRPr="00025463" w:rsidRDefault="004F459C" w:rsidP="00454FAD">
            <w:pPr>
              <w:jc w:val="both"/>
              <w:rPr>
                <w:sz w:val="22"/>
                <w:szCs w:val="22"/>
              </w:rPr>
            </w:pPr>
          </w:p>
        </w:tc>
        <w:tc>
          <w:tcPr>
            <w:tcW w:w="1813" w:type="dxa"/>
            <w:vAlign w:val="center"/>
          </w:tcPr>
          <w:p w14:paraId="02FD7BF4" w14:textId="086FC53E" w:rsidR="004F459C" w:rsidRPr="00AD42EB" w:rsidRDefault="004F459C" w:rsidP="00454FAD">
            <w:pPr>
              <w:jc w:val="both"/>
              <w:rPr>
                <w:sz w:val="22"/>
                <w:szCs w:val="22"/>
              </w:rPr>
            </w:pPr>
          </w:p>
        </w:tc>
        <w:tc>
          <w:tcPr>
            <w:tcW w:w="851" w:type="dxa"/>
            <w:vAlign w:val="center"/>
          </w:tcPr>
          <w:p w14:paraId="5188F896" w14:textId="55BE8136" w:rsidR="004F459C" w:rsidRPr="00025463" w:rsidRDefault="004F459C" w:rsidP="00454FAD">
            <w:pPr>
              <w:jc w:val="both"/>
              <w:rPr>
                <w:sz w:val="22"/>
                <w:szCs w:val="22"/>
              </w:rPr>
            </w:pPr>
          </w:p>
        </w:tc>
        <w:tc>
          <w:tcPr>
            <w:tcW w:w="1386" w:type="dxa"/>
            <w:vAlign w:val="center"/>
          </w:tcPr>
          <w:p w14:paraId="0EB56E23" w14:textId="04B603DA" w:rsidR="004F459C" w:rsidRPr="00025463" w:rsidRDefault="004F459C" w:rsidP="00454FAD">
            <w:pPr>
              <w:jc w:val="both"/>
              <w:rPr>
                <w:sz w:val="22"/>
                <w:szCs w:val="22"/>
              </w:rPr>
            </w:pPr>
          </w:p>
        </w:tc>
        <w:tc>
          <w:tcPr>
            <w:tcW w:w="1307" w:type="dxa"/>
            <w:vAlign w:val="center"/>
          </w:tcPr>
          <w:p w14:paraId="614EDE73" w14:textId="5CD0735A" w:rsidR="004F459C" w:rsidRPr="00025463" w:rsidRDefault="004F459C" w:rsidP="00454FAD">
            <w:pPr>
              <w:jc w:val="both"/>
              <w:rPr>
                <w:sz w:val="22"/>
                <w:szCs w:val="22"/>
              </w:rPr>
            </w:pPr>
          </w:p>
        </w:tc>
        <w:tc>
          <w:tcPr>
            <w:tcW w:w="1525" w:type="dxa"/>
            <w:vAlign w:val="center"/>
          </w:tcPr>
          <w:p w14:paraId="29B8C249" w14:textId="6305490D" w:rsidR="004F459C" w:rsidRPr="00025463" w:rsidRDefault="004F459C" w:rsidP="00454FAD">
            <w:pPr>
              <w:jc w:val="both"/>
              <w:rPr>
                <w:sz w:val="22"/>
                <w:szCs w:val="22"/>
              </w:rPr>
            </w:pPr>
          </w:p>
        </w:tc>
      </w:tr>
      <w:tr w:rsidR="004F459C" w:rsidRPr="00025463" w14:paraId="761AF0F3" w14:textId="77777777" w:rsidTr="00454FAD">
        <w:trPr>
          <w:trHeight w:val="70"/>
        </w:trPr>
        <w:tc>
          <w:tcPr>
            <w:tcW w:w="13435" w:type="dxa"/>
            <w:gridSpan w:val="9"/>
            <w:vAlign w:val="center"/>
          </w:tcPr>
          <w:p w14:paraId="61C05232" w14:textId="77777777" w:rsidR="004F459C" w:rsidRPr="00025463" w:rsidRDefault="004F459C" w:rsidP="00454FAD">
            <w:pPr>
              <w:jc w:val="right"/>
              <w:rPr>
                <w:sz w:val="22"/>
                <w:szCs w:val="22"/>
              </w:rPr>
            </w:pPr>
            <w:r w:rsidRPr="00025463">
              <w:rPr>
                <w:b/>
                <w:bCs/>
                <w:sz w:val="22"/>
                <w:szCs w:val="22"/>
                <w:lang w:val="lt-LT" w:eastAsia="lt-LT"/>
              </w:rPr>
              <w:t>Bendra pradinė vertė 30-ai pirkimo daliai EUR be PVM</w:t>
            </w:r>
          </w:p>
        </w:tc>
        <w:tc>
          <w:tcPr>
            <w:tcW w:w="1307" w:type="dxa"/>
            <w:vAlign w:val="center"/>
          </w:tcPr>
          <w:p w14:paraId="2A1E37BC" w14:textId="77777777" w:rsidR="004F459C" w:rsidRPr="00025463" w:rsidRDefault="004F459C" w:rsidP="00454FAD">
            <w:pPr>
              <w:jc w:val="both"/>
              <w:rPr>
                <w:sz w:val="22"/>
                <w:szCs w:val="22"/>
              </w:rPr>
            </w:pPr>
          </w:p>
        </w:tc>
        <w:tc>
          <w:tcPr>
            <w:tcW w:w="1525" w:type="dxa"/>
            <w:vAlign w:val="center"/>
          </w:tcPr>
          <w:p w14:paraId="644CEC87" w14:textId="43E638A9" w:rsidR="004F459C" w:rsidRPr="00723A1B" w:rsidRDefault="004F459C" w:rsidP="00454FAD">
            <w:pPr>
              <w:jc w:val="both"/>
              <w:rPr>
                <w:b/>
                <w:bCs/>
                <w:sz w:val="22"/>
                <w:szCs w:val="22"/>
              </w:rPr>
            </w:pPr>
          </w:p>
        </w:tc>
      </w:tr>
      <w:tr w:rsidR="004F459C" w:rsidRPr="00025463" w14:paraId="04F8C200" w14:textId="77777777" w:rsidTr="00454FAD">
        <w:trPr>
          <w:trHeight w:val="70"/>
        </w:trPr>
        <w:tc>
          <w:tcPr>
            <w:tcW w:w="13435" w:type="dxa"/>
            <w:gridSpan w:val="9"/>
            <w:vAlign w:val="center"/>
          </w:tcPr>
          <w:p w14:paraId="029A886D" w14:textId="77777777" w:rsidR="004F459C" w:rsidRPr="00025463" w:rsidRDefault="004F459C" w:rsidP="00454FAD">
            <w:pPr>
              <w:jc w:val="right"/>
              <w:rPr>
                <w:sz w:val="22"/>
                <w:szCs w:val="22"/>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suma</w:t>
            </w:r>
          </w:p>
        </w:tc>
        <w:tc>
          <w:tcPr>
            <w:tcW w:w="1307" w:type="dxa"/>
            <w:vAlign w:val="center"/>
          </w:tcPr>
          <w:p w14:paraId="7D7071AB" w14:textId="77777777" w:rsidR="004F459C" w:rsidRPr="00025463" w:rsidRDefault="004F459C" w:rsidP="00454FAD">
            <w:pPr>
              <w:jc w:val="both"/>
              <w:rPr>
                <w:sz w:val="22"/>
                <w:szCs w:val="22"/>
              </w:rPr>
            </w:pPr>
          </w:p>
        </w:tc>
        <w:tc>
          <w:tcPr>
            <w:tcW w:w="1525" w:type="dxa"/>
            <w:vAlign w:val="center"/>
          </w:tcPr>
          <w:p w14:paraId="5DC5B68A" w14:textId="7218739F" w:rsidR="004F459C" w:rsidRPr="00723A1B" w:rsidRDefault="004F459C" w:rsidP="00454FAD">
            <w:pPr>
              <w:jc w:val="both"/>
              <w:rPr>
                <w:b/>
                <w:bCs/>
                <w:sz w:val="22"/>
                <w:szCs w:val="22"/>
              </w:rPr>
            </w:pPr>
          </w:p>
        </w:tc>
      </w:tr>
      <w:tr w:rsidR="004F459C" w:rsidRPr="00025463" w14:paraId="7CB5A1FC" w14:textId="77777777" w:rsidTr="00454FAD">
        <w:trPr>
          <w:trHeight w:val="70"/>
        </w:trPr>
        <w:tc>
          <w:tcPr>
            <w:tcW w:w="13435" w:type="dxa"/>
            <w:gridSpan w:val="9"/>
            <w:vAlign w:val="center"/>
          </w:tcPr>
          <w:p w14:paraId="563722C3" w14:textId="77777777" w:rsidR="004F459C" w:rsidRPr="00025463" w:rsidRDefault="004F459C" w:rsidP="00454FAD">
            <w:pPr>
              <w:jc w:val="right"/>
              <w:rPr>
                <w:sz w:val="22"/>
                <w:szCs w:val="22"/>
              </w:rPr>
            </w:pPr>
            <w:r w:rsidRPr="00025463">
              <w:rPr>
                <w:b/>
                <w:bCs/>
                <w:sz w:val="22"/>
                <w:szCs w:val="22"/>
                <w:lang w:val="lt-LT" w:eastAsia="lt-LT"/>
              </w:rPr>
              <w:t>Sutarties kaina 30-ai pirkimo daliai EUR su PVM</w:t>
            </w:r>
          </w:p>
        </w:tc>
        <w:tc>
          <w:tcPr>
            <w:tcW w:w="1307" w:type="dxa"/>
            <w:vAlign w:val="center"/>
          </w:tcPr>
          <w:p w14:paraId="1C3D657D" w14:textId="77777777" w:rsidR="004F459C" w:rsidRPr="00025463" w:rsidRDefault="004F459C" w:rsidP="00454FAD">
            <w:pPr>
              <w:jc w:val="both"/>
              <w:rPr>
                <w:sz w:val="22"/>
                <w:szCs w:val="22"/>
              </w:rPr>
            </w:pPr>
          </w:p>
        </w:tc>
        <w:tc>
          <w:tcPr>
            <w:tcW w:w="1525" w:type="dxa"/>
            <w:vAlign w:val="center"/>
          </w:tcPr>
          <w:p w14:paraId="7A6B2D4B" w14:textId="2F189EDD" w:rsidR="004F459C" w:rsidRPr="00723A1B" w:rsidRDefault="004F459C" w:rsidP="00454FAD">
            <w:pPr>
              <w:jc w:val="both"/>
              <w:rPr>
                <w:b/>
                <w:bCs/>
                <w:sz w:val="22"/>
                <w:szCs w:val="22"/>
              </w:rPr>
            </w:pPr>
          </w:p>
        </w:tc>
      </w:tr>
      <w:tr w:rsidR="004F459C" w:rsidRPr="00025463" w14:paraId="16C44C89" w14:textId="77777777" w:rsidTr="00454FAD">
        <w:trPr>
          <w:trHeight w:val="70"/>
        </w:trPr>
        <w:tc>
          <w:tcPr>
            <w:tcW w:w="1130" w:type="dxa"/>
            <w:vAlign w:val="center"/>
          </w:tcPr>
          <w:p w14:paraId="5F14379B"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35.</w:t>
            </w:r>
          </w:p>
        </w:tc>
        <w:tc>
          <w:tcPr>
            <w:tcW w:w="1848" w:type="dxa"/>
            <w:vAlign w:val="center"/>
          </w:tcPr>
          <w:p w14:paraId="25A62747"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Pincetas</w:t>
            </w:r>
          </w:p>
        </w:tc>
        <w:tc>
          <w:tcPr>
            <w:tcW w:w="1984" w:type="dxa"/>
            <w:vAlign w:val="center"/>
          </w:tcPr>
          <w:p w14:paraId="723D8CD5"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Micro-Adson*, chirurginis, 1x2, 120±3 mm</w:t>
            </w:r>
          </w:p>
        </w:tc>
        <w:tc>
          <w:tcPr>
            <w:tcW w:w="992" w:type="dxa"/>
            <w:vAlign w:val="center"/>
          </w:tcPr>
          <w:p w14:paraId="3E50B081"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389018B5"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0B10BB69" w14:textId="07DFDDD5" w:rsidR="004F459C" w:rsidRPr="00025463" w:rsidRDefault="004F459C" w:rsidP="00454FAD">
            <w:pPr>
              <w:jc w:val="both"/>
              <w:rPr>
                <w:sz w:val="22"/>
                <w:szCs w:val="22"/>
              </w:rPr>
            </w:pPr>
          </w:p>
        </w:tc>
        <w:tc>
          <w:tcPr>
            <w:tcW w:w="1813" w:type="dxa"/>
            <w:vAlign w:val="center"/>
          </w:tcPr>
          <w:p w14:paraId="48947E22" w14:textId="518574D5" w:rsidR="004F459C" w:rsidRPr="00723A1B" w:rsidRDefault="004F459C" w:rsidP="00454FAD">
            <w:pPr>
              <w:jc w:val="both"/>
              <w:rPr>
                <w:sz w:val="22"/>
                <w:szCs w:val="22"/>
              </w:rPr>
            </w:pPr>
          </w:p>
        </w:tc>
        <w:tc>
          <w:tcPr>
            <w:tcW w:w="851" w:type="dxa"/>
            <w:vAlign w:val="center"/>
          </w:tcPr>
          <w:p w14:paraId="03B7A922" w14:textId="6A6C22F1" w:rsidR="004F459C" w:rsidRPr="00025463" w:rsidRDefault="004F459C" w:rsidP="00454FAD">
            <w:pPr>
              <w:jc w:val="both"/>
              <w:rPr>
                <w:sz w:val="22"/>
                <w:szCs w:val="22"/>
              </w:rPr>
            </w:pPr>
          </w:p>
        </w:tc>
        <w:tc>
          <w:tcPr>
            <w:tcW w:w="1386" w:type="dxa"/>
            <w:vAlign w:val="center"/>
          </w:tcPr>
          <w:p w14:paraId="37E03B78" w14:textId="5780272F" w:rsidR="004F459C" w:rsidRPr="00025463" w:rsidRDefault="004F459C" w:rsidP="00454FAD">
            <w:pPr>
              <w:jc w:val="both"/>
              <w:rPr>
                <w:sz w:val="22"/>
                <w:szCs w:val="22"/>
              </w:rPr>
            </w:pPr>
          </w:p>
        </w:tc>
        <w:tc>
          <w:tcPr>
            <w:tcW w:w="1307" w:type="dxa"/>
            <w:vAlign w:val="center"/>
          </w:tcPr>
          <w:p w14:paraId="30563453" w14:textId="5227F5FE" w:rsidR="004F459C" w:rsidRPr="00025463" w:rsidRDefault="004F459C" w:rsidP="00454FAD">
            <w:pPr>
              <w:jc w:val="both"/>
              <w:rPr>
                <w:sz w:val="22"/>
                <w:szCs w:val="22"/>
              </w:rPr>
            </w:pPr>
          </w:p>
        </w:tc>
        <w:tc>
          <w:tcPr>
            <w:tcW w:w="1525" w:type="dxa"/>
            <w:vAlign w:val="center"/>
          </w:tcPr>
          <w:p w14:paraId="762223CC" w14:textId="5E9340C0" w:rsidR="004F459C" w:rsidRPr="00025463" w:rsidRDefault="004F459C" w:rsidP="00454FAD">
            <w:pPr>
              <w:jc w:val="both"/>
              <w:rPr>
                <w:sz w:val="22"/>
                <w:szCs w:val="22"/>
              </w:rPr>
            </w:pPr>
          </w:p>
        </w:tc>
      </w:tr>
      <w:tr w:rsidR="004F459C" w:rsidRPr="00025463" w14:paraId="25B02649" w14:textId="77777777" w:rsidTr="00454FAD">
        <w:trPr>
          <w:trHeight w:val="70"/>
        </w:trPr>
        <w:tc>
          <w:tcPr>
            <w:tcW w:w="13435" w:type="dxa"/>
            <w:gridSpan w:val="9"/>
            <w:vAlign w:val="center"/>
          </w:tcPr>
          <w:p w14:paraId="03B8EE54" w14:textId="77777777" w:rsidR="004F459C" w:rsidRPr="00025463" w:rsidRDefault="004F459C" w:rsidP="00454FAD">
            <w:pPr>
              <w:jc w:val="right"/>
              <w:rPr>
                <w:sz w:val="22"/>
                <w:szCs w:val="22"/>
              </w:rPr>
            </w:pPr>
            <w:r w:rsidRPr="00025463">
              <w:rPr>
                <w:b/>
                <w:bCs/>
                <w:sz w:val="22"/>
                <w:szCs w:val="22"/>
                <w:lang w:val="lt-LT" w:eastAsia="lt-LT"/>
              </w:rPr>
              <w:t>Bendra pradinė vertė 35-ai pirkimo daliai EUR be PVM</w:t>
            </w:r>
          </w:p>
        </w:tc>
        <w:tc>
          <w:tcPr>
            <w:tcW w:w="1307" w:type="dxa"/>
            <w:vAlign w:val="center"/>
          </w:tcPr>
          <w:p w14:paraId="689BB5B9" w14:textId="77777777" w:rsidR="004F459C" w:rsidRPr="00025463" w:rsidRDefault="004F459C" w:rsidP="00454FAD">
            <w:pPr>
              <w:jc w:val="both"/>
              <w:rPr>
                <w:sz w:val="22"/>
                <w:szCs w:val="22"/>
              </w:rPr>
            </w:pPr>
          </w:p>
        </w:tc>
        <w:tc>
          <w:tcPr>
            <w:tcW w:w="1525" w:type="dxa"/>
            <w:vAlign w:val="center"/>
          </w:tcPr>
          <w:p w14:paraId="389776AA" w14:textId="6214EEDB" w:rsidR="004F459C" w:rsidRPr="002973F2" w:rsidRDefault="004F459C" w:rsidP="00454FAD">
            <w:pPr>
              <w:jc w:val="both"/>
              <w:rPr>
                <w:b/>
                <w:bCs/>
                <w:sz w:val="22"/>
                <w:szCs w:val="22"/>
              </w:rPr>
            </w:pPr>
          </w:p>
        </w:tc>
      </w:tr>
      <w:tr w:rsidR="004F459C" w:rsidRPr="00025463" w14:paraId="37E812B5" w14:textId="77777777" w:rsidTr="00454FAD">
        <w:trPr>
          <w:trHeight w:val="70"/>
        </w:trPr>
        <w:tc>
          <w:tcPr>
            <w:tcW w:w="13435" w:type="dxa"/>
            <w:gridSpan w:val="9"/>
            <w:vAlign w:val="center"/>
          </w:tcPr>
          <w:p w14:paraId="71B97FC8" w14:textId="77777777" w:rsidR="004F459C" w:rsidRPr="00025463" w:rsidRDefault="004F459C" w:rsidP="00454FAD">
            <w:pPr>
              <w:jc w:val="right"/>
              <w:rPr>
                <w:sz w:val="22"/>
                <w:szCs w:val="22"/>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suma</w:t>
            </w:r>
          </w:p>
        </w:tc>
        <w:tc>
          <w:tcPr>
            <w:tcW w:w="1307" w:type="dxa"/>
            <w:vAlign w:val="center"/>
          </w:tcPr>
          <w:p w14:paraId="7467FD82" w14:textId="77777777" w:rsidR="004F459C" w:rsidRPr="00025463" w:rsidRDefault="004F459C" w:rsidP="00454FAD">
            <w:pPr>
              <w:jc w:val="both"/>
              <w:rPr>
                <w:sz w:val="22"/>
                <w:szCs w:val="22"/>
              </w:rPr>
            </w:pPr>
          </w:p>
        </w:tc>
        <w:tc>
          <w:tcPr>
            <w:tcW w:w="1525" w:type="dxa"/>
            <w:vAlign w:val="center"/>
          </w:tcPr>
          <w:p w14:paraId="54756D1F" w14:textId="581C42BD" w:rsidR="004F459C" w:rsidRPr="002973F2" w:rsidRDefault="004F459C" w:rsidP="00454FAD">
            <w:pPr>
              <w:jc w:val="both"/>
              <w:rPr>
                <w:b/>
                <w:bCs/>
                <w:sz w:val="22"/>
                <w:szCs w:val="22"/>
              </w:rPr>
            </w:pPr>
          </w:p>
        </w:tc>
      </w:tr>
      <w:tr w:rsidR="004F459C" w:rsidRPr="00025463" w14:paraId="4985DF5B" w14:textId="77777777" w:rsidTr="00454FAD">
        <w:trPr>
          <w:trHeight w:val="70"/>
        </w:trPr>
        <w:tc>
          <w:tcPr>
            <w:tcW w:w="13435" w:type="dxa"/>
            <w:gridSpan w:val="9"/>
            <w:vAlign w:val="center"/>
          </w:tcPr>
          <w:p w14:paraId="5D22786D" w14:textId="77777777" w:rsidR="004F459C" w:rsidRPr="00025463" w:rsidRDefault="004F459C" w:rsidP="00454FAD">
            <w:pPr>
              <w:jc w:val="right"/>
              <w:rPr>
                <w:sz w:val="22"/>
                <w:szCs w:val="22"/>
              </w:rPr>
            </w:pPr>
            <w:r w:rsidRPr="00025463">
              <w:rPr>
                <w:b/>
                <w:bCs/>
                <w:sz w:val="22"/>
                <w:szCs w:val="22"/>
                <w:lang w:val="lt-LT" w:eastAsia="lt-LT"/>
              </w:rPr>
              <w:t>Sutarties kaina 35-ai pirkimo daliai EUR su PVM</w:t>
            </w:r>
          </w:p>
        </w:tc>
        <w:tc>
          <w:tcPr>
            <w:tcW w:w="1307" w:type="dxa"/>
            <w:vAlign w:val="center"/>
          </w:tcPr>
          <w:p w14:paraId="0E72E32A" w14:textId="77777777" w:rsidR="004F459C" w:rsidRPr="00025463" w:rsidRDefault="004F459C" w:rsidP="00454FAD">
            <w:pPr>
              <w:jc w:val="both"/>
              <w:rPr>
                <w:sz w:val="22"/>
                <w:szCs w:val="22"/>
              </w:rPr>
            </w:pPr>
          </w:p>
        </w:tc>
        <w:tc>
          <w:tcPr>
            <w:tcW w:w="1525" w:type="dxa"/>
            <w:vAlign w:val="center"/>
          </w:tcPr>
          <w:p w14:paraId="68817582" w14:textId="4F393E2D" w:rsidR="004F459C" w:rsidRPr="002973F2" w:rsidRDefault="004F459C" w:rsidP="00454FAD">
            <w:pPr>
              <w:jc w:val="both"/>
              <w:rPr>
                <w:b/>
                <w:bCs/>
                <w:sz w:val="22"/>
                <w:szCs w:val="22"/>
              </w:rPr>
            </w:pPr>
          </w:p>
        </w:tc>
      </w:tr>
      <w:tr w:rsidR="004F459C" w:rsidRPr="00025463" w14:paraId="2960DCC2" w14:textId="77777777" w:rsidTr="00454FAD">
        <w:trPr>
          <w:trHeight w:val="70"/>
        </w:trPr>
        <w:tc>
          <w:tcPr>
            <w:tcW w:w="1130" w:type="dxa"/>
            <w:vAlign w:val="center"/>
          </w:tcPr>
          <w:p w14:paraId="2FD68BD0"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36.</w:t>
            </w:r>
          </w:p>
        </w:tc>
        <w:tc>
          <w:tcPr>
            <w:tcW w:w="1848" w:type="dxa"/>
            <w:vAlign w:val="center"/>
          </w:tcPr>
          <w:p w14:paraId="54BE77AA"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Pincetas</w:t>
            </w:r>
          </w:p>
        </w:tc>
        <w:tc>
          <w:tcPr>
            <w:tcW w:w="1984" w:type="dxa"/>
            <w:vAlign w:val="center"/>
          </w:tcPr>
          <w:p w14:paraId="2A018B14"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Adson*, chirurginis, su plato, 1x2, 120±3 mm</w:t>
            </w:r>
          </w:p>
        </w:tc>
        <w:tc>
          <w:tcPr>
            <w:tcW w:w="992" w:type="dxa"/>
            <w:vAlign w:val="center"/>
          </w:tcPr>
          <w:p w14:paraId="18413B56"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198E0725"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78B4D30E" w14:textId="38775D54" w:rsidR="004F459C" w:rsidRPr="00025463" w:rsidRDefault="004F459C" w:rsidP="00454FAD">
            <w:pPr>
              <w:jc w:val="both"/>
              <w:rPr>
                <w:sz w:val="22"/>
                <w:szCs w:val="22"/>
              </w:rPr>
            </w:pPr>
          </w:p>
        </w:tc>
        <w:tc>
          <w:tcPr>
            <w:tcW w:w="1813" w:type="dxa"/>
            <w:vAlign w:val="center"/>
          </w:tcPr>
          <w:p w14:paraId="7283FDED" w14:textId="4F98EADF" w:rsidR="004F459C" w:rsidRPr="00723A1B" w:rsidRDefault="004F459C" w:rsidP="00454FAD">
            <w:pPr>
              <w:jc w:val="both"/>
              <w:rPr>
                <w:sz w:val="22"/>
                <w:szCs w:val="22"/>
              </w:rPr>
            </w:pPr>
          </w:p>
        </w:tc>
        <w:tc>
          <w:tcPr>
            <w:tcW w:w="851" w:type="dxa"/>
            <w:vAlign w:val="center"/>
          </w:tcPr>
          <w:p w14:paraId="4CB15792" w14:textId="72CA2276" w:rsidR="004F459C" w:rsidRPr="00025463" w:rsidRDefault="004F459C" w:rsidP="00454FAD">
            <w:pPr>
              <w:jc w:val="both"/>
              <w:rPr>
                <w:sz w:val="22"/>
                <w:szCs w:val="22"/>
              </w:rPr>
            </w:pPr>
          </w:p>
        </w:tc>
        <w:tc>
          <w:tcPr>
            <w:tcW w:w="1386" w:type="dxa"/>
            <w:vAlign w:val="center"/>
          </w:tcPr>
          <w:p w14:paraId="4A795A39" w14:textId="324DEEAD" w:rsidR="004F459C" w:rsidRPr="00025463" w:rsidRDefault="004F459C" w:rsidP="00454FAD">
            <w:pPr>
              <w:jc w:val="both"/>
              <w:rPr>
                <w:sz w:val="22"/>
                <w:szCs w:val="22"/>
              </w:rPr>
            </w:pPr>
          </w:p>
        </w:tc>
        <w:tc>
          <w:tcPr>
            <w:tcW w:w="1307" w:type="dxa"/>
            <w:vAlign w:val="center"/>
          </w:tcPr>
          <w:p w14:paraId="2C8722E9" w14:textId="138AFCD4" w:rsidR="004F459C" w:rsidRPr="00025463" w:rsidRDefault="004F459C" w:rsidP="00454FAD">
            <w:pPr>
              <w:jc w:val="both"/>
              <w:rPr>
                <w:sz w:val="22"/>
                <w:szCs w:val="22"/>
              </w:rPr>
            </w:pPr>
          </w:p>
        </w:tc>
        <w:tc>
          <w:tcPr>
            <w:tcW w:w="1525" w:type="dxa"/>
            <w:vAlign w:val="center"/>
          </w:tcPr>
          <w:p w14:paraId="57531531" w14:textId="6213254E" w:rsidR="004F459C" w:rsidRPr="00025463" w:rsidRDefault="004F459C" w:rsidP="00454FAD">
            <w:pPr>
              <w:jc w:val="both"/>
              <w:rPr>
                <w:sz w:val="22"/>
                <w:szCs w:val="22"/>
              </w:rPr>
            </w:pPr>
          </w:p>
        </w:tc>
      </w:tr>
      <w:tr w:rsidR="004F459C" w:rsidRPr="00025463" w14:paraId="6271D567" w14:textId="77777777" w:rsidTr="00454FAD">
        <w:trPr>
          <w:trHeight w:val="70"/>
        </w:trPr>
        <w:tc>
          <w:tcPr>
            <w:tcW w:w="13435" w:type="dxa"/>
            <w:gridSpan w:val="9"/>
            <w:vAlign w:val="center"/>
          </w:tcPr>
          <w:p w14:paraId="0401BDCC" w14:textId="77777777" w:rsidR="004F459C" w:rsidRPr="00025463" w:rsidRDefault="004F459C" w:rsidP="00454FAD">
            <w:pPr>
              <w:jc w:val="right"/>
              <w:rPr>
                <w:sz w:val="22"/>
                <w:szCs w:val="22"/>
              </w:rPr>
            </w:pPr>
            <w:r w:rsidRPr="00025463">
              <w:rPr>
                <w:b/>
                <w:bCs/>
                <w:sz w:val="22"/>
                <w:szCs w:val="22"/>
                <w:lang w:val="lt-LT" w:eastAsia="lt-LT"/>
              </w:rPr>
              <w:lastRenderedPageBreak/>
              <w:t>Bendra pradinė vertė 36-ai pirkimo daliai EUR be PVM</w:t>
            </w:r>
          </w:p>
        </w:tc>
        <w:tc>
          <w:tcPr>
            <w:tcW w:w="1307" w:type="dxa"/>
            <w:vAlign w:val="center"/>
          </w:tcPr>
          <w:p w14:paraId="51DADAE1" w14:textId="77777777" w:rsidR="004F459C" w:rsidRPr="00025463" w:rsidRDefault="004F459C" w:rsidP="00454FAD">
            <w:pPr>
              <w:jc w:val="both"/>
              <w:rPr>
                <w:sz w:val="22"/>
                <w:szCs w:val="22"/>
              </w:rPr>
            </w:pPr>
          </w:p>
        </w:tc>
        <w:tc>
          <w:tcPr>
            <w:tcW w:w="1525" w:type="dxa"/>
            <w:vAlign w:val="center"/>
          </w:tcPr>
          <w:p w14:paraId="540BC42D" w14:textId="56444411" w:rsidR="004F459C" w:rsidRPr="002973F2" w:rsidRDefault="004F459C" w:rsidP="00454FAD">
            <w:pPr>
              <w:jc w:val="both"/>
              <w:rPr>
                <w:b/>
                <w:bCs/>
                <w:sz w:val="22"/>
                <w:szCs w:val="22"/>
              </w:rPr>
            </w:pPr>
          </w:p>
        </w:tc>
      </w:tr>
      <w:tr w:rsidR="004F459C" w:rsidRPr="00025463" w14:paraId="15AACC46" w14:textId="77777777" w:rsidTr="00454FAD">
        <w:trPr>
          <w:trHeight w:val="70"/>
        </w:trPr>
        <w:tc>
          <w:tcPr>
            <w:tcW w:w="13435" w:type="dxa"/>
            <w:gridSpan w:val="9"/>
            <w:vAlign w:val="center"/>
          </w:tcPr>
          <w:p w14:paraId="4414AF34" w14:textId="77777777" w:rsidR="004F459C" w:rsidRPr="00025463" w:rsidRDefault="004F459C" w:rsidP="00454FAD">
            <w:pPr>
              <w:jc w:val="right"/>
              <w:rPr>
                <w:sz w:val="22"/>
                <w:szCs w:val="22"/>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xml:space="preserve"> %) suma</w:t>
            </w:r>
          </w:p>
        </w:tc>
        <w:tc>
          <w:tcPr>
            <w:tcW w:w="1307" w:type="dxa"/>
            <w:vAlign w:val="center"/>
          </w:tcPr>
          <w:p w14:paraId="68922F1C" w14:textId="77777777" w:rsidR="004F459C" w:rsidRPr="00025463" w:rsidRDefault="004F459C" w:rsidP="00454FAD">
            <w:pPr>
              <w:jc w:val="both"/>
              <w:rPr>
                <w:sz w:val="22"/>
                <w:szCs w:val="22"/>
              </w:rPr>
            </w:pPr>
          </w:p>
        </w:tc>
        <w:tc>
          <w:tcPr>
            <w:tcW w:w="1525" w:type="dxa"/>
            <w:vAlign w:val="center"/>
          </w:tcPr>
          <w:p w14:paraId="4B26417A" w14:textId="13F4373D" w:rsidR="004F459C" w:rsidRPr="002973F2" w:rsidRDefault="004F459C" w:rsidP="00454FAD">
            <w:pPr>
              <w:jc w:val="both"/>
              <w:rPr>
                <w:b/>
                <w:bCs/>
                <w:sz w:val="22"/>
                <w:szCs w:val="22"/>
              </w:rPr>
            </w:pPr>
          </w:p>
        </w:tc>
      </w:tr>
      <w:tr w:rsidR="004F459C" w:rsidRPr="00025463" w14:paraId="5D3717BE" w14:textId="77777777" w:rsidTr="00454FAD">
        <w:trPr>
          <w:trHeight w:val="70"/>
        </w:trPr>
        <w:tc>
          <w:tcPr>
            <w:tcW w:w="13435" w:type="dxa"/>
            <w:gridSpan w:val="9"/>
            <w:vAlign w:val="center"/>
          </w:tcPr>
          <w:p w14:paraId="546B62EF" w14:textId="77777777" w:rsidR="004F459C" w:rsidRPr="00025463" w:rsidRDefault="004F459C" w:rsidP="00454FAD">
            <w:pPr>
              <w:jc w:val="right"/>
              <w:rPr>
                <w:sz w:val="22"/>
                <w:szCs w:val="22"/>
              </w:rPr>
            </w:pPr>
            <w:r w:rsidRPr="00025463">
              <w:rPr>
                <w:b/>
                <w:bCs/>
                <w:sz w:val="22"/>
                <w:szCs w:val="22"/>
                <w:lang w:val="lt-LT" w:eastAsia="lt-LT"/>
              </w:rPr>
              <w:t>Sutarties kaina 36-ai pirkimo daliai EUR su PVM</w:t>
            </w:r>
          </w:p>
        </w:tc>
        <w:tc>
          <w:tcPr>
            <w:tcW w:w="1307" w:type="dxa"/>
            <w:vAlign w:val="center"/>
          </w:tcPr>
          <w:p w14:paraId="36BF4BEF" w14:textId="77777777" w:rsidR="004F459C" w:rsidRPr="00025463" w:rsidRDefault="004F459C" w:rsidP="00454FAD">
            <w:pPr>
              <w:jc w:val="both"/>
              <w:rPr>
                <w:sz w:val="22"/>
                <w:szCs w:val="22"/>
              </w:rPr>
            </w:pPr>
          </w:p>
        </w:tc>
        <w:tc>
          <w:tcPr>
            <w:tcW w:w="1525" w:type="dxa"/>
            <w:vAlign w:val="center"/>
          </w:tcPr>
          <w:p w14:paraId="63D0D2E2" w14:textId="1AF7EAB1" w:rsidR="004F459C" w:rsidRPr="002973F2" w:rsidRDefault="004F459C" w:rsidP="00454FAD">
            <w:pPr>
              <w:jc w:val="both"/>
              <w:rPr>
                <w:b/>
                <w:bCs/>
                <w:sz w:val="22"/>
                <w:szCs w:val="22"/>
              </w:rPr>
            </w:pPr>
          </w:p>
        </w:tc>
      </w:tr>
      <w:tr w:rsidR="004F459C" w:rsidRPr="00025463" w14:paraId="2894CB7D" w14:textId="77777777" w:rsidTr="00454FAD">
        <w:trPr>
          <w:trHeight w:val="70"/>
        </w:trPr>
        <w:tc>
          <w:tcPr>
            <w:tcW w:w="1130" w:type="dxa"/>
            <w:vAlign w:val="center"/>
          </w:tcPr>
          <w:p w14:paraId="2596C697"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40.</w:t>
            </w:r>
          </w:p>
        </w:tc>
        <w:tc>
          <w:tcPr>
            <w:tcW w:w="1848" w:type="dxa"/>
            <w:vAlign w:val="center"/>
          </w:tcPr>
          <w:p w14:paraId="244D5E48"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Žirklės vielai</w:t>
            </w:r>
          </w:p>
        </w:tc>
        <w:tc>
          <w:tcPr>
            <w:tcW w:w="1984" w:type="dxa"/>
            <w:vAlign w:val="center"/>
          </w:tcPr>
          <w:p w14:paraId="4726B850" w14:textId="77777777" w:rsidR="004F459C" w:rsidRPr="00025463" w:rsidRDefault="004F459C" w:rsidP="00454FAD">
            <w:pPr>
              <w:rPr>
                <w:rFonts w:eastAsia="Times New Roman"/>
                <w:color w:val="000000"/>
                <w:sz w:val="22"/>
                <w:szCs w:val="22"/>
                <w:lang w:eastAsia="lt-LT"/>
              </w:rPr>
            </w:pPr>
          </w:p>
        </w:tc>
        <w:tc>
          <w:tcPr>
            <w:tcW w:w="992" w:type="dxa"/>
            <w:vAlign w:val="center"/>
          </w:tcPr>
          <w:p w14:paraId="3379ABD5"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5DC1CAE4"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20</w:t>
            </w:r>
          </w:p>
        </w:tc>
        <w:tc>
          <w:tcPr>
            <w:tcW w:w="1984" w:type="dxa"/>
            <w:vAlign w:val="center"/>
          </w:tcPr>
          <w:p w14:paraId="6E9175BA" w14:textId="77777777" w:rsidR="004F459C" w:rsidRPr="00025463" w:rsidRDefault="004F459C" w:rsidP="00454FAD">
            <w:pPr>
              <w:jc w:val="both"/>
              <w:rPr>
                <w:sz w:val="22"/>
                <w:szCs w:val="22"/>
              </w:rPr>
            </w:pPr>
            <w:r>
              <w:rPr>
                <w:sz w:val="22"/>
                <w:szCs w:val="22"/>
              </w:rPr>
              <w:t>Bee Bee ilgis         120 mm Falcon</w:t>
            </w:r>
          </w:p>
        </w:tc>
        <w:tc>
          <w:tcPr>
            <w:tcW w:w="1813" w:type="dxa"/>
            <w:vAlign w:val="center"/>
          </w:tcPr>
          <w:p w14:paraId="5D5E45CC" w14:textId="77777777" w:rsidR="004F459C" w:rsidRDefault="004F459C" w:rsidP="00454FAD">
            <w:pPr>
              <w:jc w:val="both"/>
              <w:rPr>
                <w:b/>
                <w:bCs/>
                <w:sz w:val="22"/>
                <w:szCs w:val="22"/>
              </w:rPr>
            </w:pPr>
            <w:r w:rsidRPr="002B2EF8">
              <w:rPr>
                <w:b/>
                <w:bCs/>
                <w:sz w:val="22"/>
                <w:szCs w:val="22"/>
              </w:rPr>
              <w:t>BS.920.120</w:t>
            </w:r>
          </w:p>
          <w:p w14:paraId="04A88C3D" w14:textId="77777777" w:rsidR="004F459C" w:rsidRDefault="004F459C" w:rsidP="00454FAD">
            <w:pPr>
              <w:jc w:val="both"/>
              <w:rPr>
                <w:b/>
                <w:bCs/>
                <w:sz w:val="22"/>
                <w:szCs w:val="22"/>
              </w:rPr>
            </w:pPr>
          </w:p>
          <w:p w14:paraId="5118AD91" w14:textId="77777777" w:rsidR="004F459C" w:rsidRPr="002B2EF8" w:rsidRDefault="004F459C" w:rsidP="00454FAD">
            <w:pPr>
              <w:jc w:val="both"/>
              <w:rPr>
                <w:sz w:val="22"/>
                <w:szCs w:val="22"/>
              </w:rPr>
            </w:pPr>
            <w:r w:rsidRPr="002B2EF8">
              <w:rPr>
                <w:sz w:val="22"/>
                <w:szCs w:val="22"/>
              </w:rPr>
              <w:t>Katalogas 40 P.d.</w:t>
            </w:r>
          </w:p>
        </w:tc>
        <w:tc>
          <w:tcPr>
            <w:tcW w:w="851" w:type="dxa"/>
            <w:vAlign w:val="center"/>
          </w:tcPr>
          <w:p w14:paraId="3AC7705D" w14:textId="77777777" w:rsidR="004F459C" w:rsidRPr="00025463" w:rsidRDefault="004F459C" w:rsidP="00454FAD">
            <w:pPr>
              <w:jc w:val="both"/>
              <w:rPr>
                <w:sz w:val="22"/>
                <w:szCs w:val="22"/>
              </w:rPr>
            </w:pPr>
            <w:r w:rsidRPr="00025463">
              <w:rPr>
                <w:sz w:val="22"/>
                <w:szCs w:val="22"/>
              </w:rPr>
              <w:t>21%</w:t>
            </w:r>
          </w:p>
        </w:tc>
        <w:tc>
          <w:tcPr>
            <w:tcW w:w="1386" w:type="dxa"/>
            <w:vAlign w:val="center"/>
          </w:tcPr>
          <w:p w14:paraId="102E6DB7" w14:textId="77777777" w:rsidR="004F459C" w:rsidRPr="00025463" w:rsidRDefault="004F459C" w:rsidP="00454FAD">
            <w:pPr>
              <w:jc w:val="both"/>
              <w:rPr>
                <w:sz w:val="22"/>
                <w:szCs w:val="22"/>
              </w:rPr>
            </w:pPr>
            <w:r>
              <w:rPr>
                <w:sz w:val="22"/>
                <w:szCs w:val="22"/>
              </w:rPr>
              <w:t>8,50</w:t>
            </w:r>
          </w:p>
        </w:tc>
        <w:tc>
          <w:tcPr>
            <w:tcW w:w="1307" w:type="dxa"/>
            <w:vAlign w:val="center"/>
          </w:tcPr>
          <w:p w14:paraId="6033B55C" w14:textId="77777777" w:rsidR="004F459C" w:rsidRPr="00025463" w:rsidRDefault="004F459C" w:rsidP="00454FAD">
            <w:pPr>
              <w:jc w:val="both"/>
              <w:rPr>
                <w:sz w:val="22"/>
                <w:szCs w:val="22"/>
              </w:rPr>
            </w:pPr>
            <w:r>
              <w:rPr>
                <w:sz w:val="22"/>
                <w:szCs w:val="22"/>
              </w:rPr>
              <w:t>10,29</w:t>
            </w:r>
          </w:p>
        </w:tc>
        <w:tc>
          <w:tcPr>
            <w:tcW w:w="1525" w:type="dxa"/>
            <w:vAlign w:val="center"/>
          </w:tcPr>
          <w:p w14:paraId="3AC166E2" w14:textId="77777777" w:rsidR="004F459C" w:rsidRPr="00025463" w:rsidRDefault="004F459C" w:rsidP="00454FAD">
            <w:pPr>
              <w:jc w:val="both"/>
              <w:rPr>
                <w:sz w:val="22"/>
                <w:szCs w:val="22"/>
              </w:rPr>
            </w:pPr>
            <w:r>
              <w:rPr>
                <w:sz w:val="22"/>
                <w:szCs w:val="22"/>
              </w:rPr>
              <w:t>170,00</w:t>
            </w:r>
          </w:p>
        </w:tc>
      </w:tr>
      <w:tr w:rsidR="004F459C" w:rsidRPr="00025463" w14:paraId="568F00A1" w14:textId="77777777" w:rsidTr="00454FAD">
        <w:trPr>
          <w:trHeight w:val="70"/>
        </w:trPr>
        <w:tc>
          <w:tcPr>
            <w:tcW w:w="13435" w:type="dxa"/>
            <w:gridSpan w:val="9"/>
            <w:vAlign w:val="center"/>
          </w:tcPr>
          <w:p w14:paraId="6F4F36A6" w14:textId="77777777" w:rsidR="004F459C" w:rsidRPr="00025463" w:rsidRDefault="004F459C" w:rsidP="00454FAD">
            <w:pPr>
              <w:jc w:val="right"/>
              <w:rPr>
                <w:sz w:val="22"/>
                <w:szCs w:val="22"/>
              </w:rPr>
            </w:pPr>
            <w:r w:rsidRPr="00025463">
              <w:rPr>
                <w:b/>
                <w:bCs/>
                <w:sz w:val="22"/>
                <w:szCs w:val="22"/>
                <w:lang w:val="lt-LT" w:eastAsia="lt-LT"/>
              </w:rPr>
              <w:t>Bendra pradinė vertė 40-ai pirkimo daliai EUR be PVM</w:t>
            </w:r>
          </w:p>
        </w:tc>
        <w:tc>
          <w:tcPr>
            <w:tcW w:w="1307" w:type="dxa"/>
            <w:vAlign w:val="center"/>
          </w:tcPr>
          <w:p w14:paraId="4CF08001" w14:textId="77777777" w:rsidR="004F459C" w:rsidRPr="00025463" w:rsidRDefault="004F459C" w:rsidP="00454FAD">
            <w:pPr>
              <w:jc w:val="both"/>
              <w:rPr>
                <w:sz w:val="22"/>
                <w:szCs w:val="22"/>
              </w:rPr>
            </w:pPr>
          </w:p>
        </w:tc>
        <w:tc>
          <w:tcPr>
            <w:tcW w:w="1525" w:type="dxa"/>
            <w:vAlign w:val="center"/>
          </w:tcPr>
          <w:p w14:paraId="416B9063" w14:textId="77777777" w:rsidR="004F459C" w:rsidRPr="002B2EF8" w:rsidRDefault="004F459C" w:rsidP="00454FAD">
            <w:pPr>
              <w:jc w:val="both"/>
              <w:rPr>
                <w:b/>
                <w:bCs/>
                <w:sz w:val="22"/>
                <w:szCs w:val="22"/>
              </w:rPr>
            </w:pPr>
            <w:r w:rsidRPr="002B2EF8">
              <w:rPr>
                <w:b/>
                <w:bCs/>
                <w:sz w:val="22"/>
                <w:szCs w:val="22"/>
              </w:rPr>
              <w:t>170,00</w:t>
            </w:r>
          </w:p>
        </w:tc>
      </w:tr>
      <w:tr w:rsidR="004F459C" w:rsidRPr="00025463" w14:paraId="4DA84903" w14:textId="77777777" w:rsidTr="00454FAD">
        <w:trPr>
          <w:trHeight w:val="70"/>
        </w:trPr>
        <w:tc>
          <w:tcPr>
            <w:tcW w:w="13435" w:type="dxa"/>
            <w:gridSpan w:val="9"/>
            <w:vAlign w:val="center"/>
          </w:tcPr>
          <w:p w14:paraId="4717F216" w14:textId="77777777" w:rsidR="004F459C" w:rsidRPr="00025463" w:rsidRDefault="004F459C" w:rsidP="00454FAD">
            <w:pPr>
              <w:jc w:val="right"/>
              <w:rPr>
                <w:sz w:val="22"/>
                <w:szCs w:val="22"/>
              </w:rPr>
            </w:pPr>
            <w:r w:rsidRPr="00025463">
              <w:rPr>
                <w:b/>
                <w:bCs/>
                <w:sz w:val="22"/>
                <w:szCs w:val="22"/>
                <w:lang w:val="lt-LT" w:eastAsia="lt-LT"/>
              </w:rPr>
              <w:t>PVM (</w:t>
            </w:r>
            <w:r>
              <w:rPr>
                <w:b/>
                <w:bCs/>
                <w:sz w:val="22"/>
                <w:szCs w:val="22"/>
                <w:lang w:val="lt-LT" w:eastAsia="lt-LT"/>
              </w:rPr>
              <w:t>21</w:t>
            </w:r>
            <w:r w:rsidRPr="00025463">
              <w:rPr>
                <w:b/>
                <w:bCs/>
                <w:sz w:val="22"/>
                <w:szCs w:val="22"/>
                <w:lang w:val="lt-LT" w:eastAsia="lt-LT"/>
              </w:rPr>
              <w:t xml:space="preserve"> %) suma</w:t>
            </w:r>
          </w:p>
        </w:tc>
        <w:tc>
          <w:tcPr>
            <w:tcW w:w="1307" w:type="dxa"/>
            <w:vAlign w:val="center"/>
          </w:tcPr>
          <w:p w14:paraId="7CAF0869" w14:textId="77777777" w:rsidR="004F459C" w:rsidRPr="00025463" w:rsidRDefault="004F459C" w:rsidP="00454FAD">
            <w:pPr>
              <w:jc w:val="both"/>
              <w:rPr>
                <w:sz w:val="22"/>
                <w:szCs w:val="22"/>
              </w:rPr>
            </w:pPr>
          </w:p>
        </w:tc>
        <w:tc>
          <w:tcPr>
            <w:tcW w:w="1525" w:type="dxa"/>
            <w:vAlign w:val="center"/>
          </w:tcPr>
          <w:p w14:paraId="61E29CDA" w14:textId="77777777" w:rsidR="004F459C" w:rsidRPr="002B2EF8" w:rsidRDefault="004F459C" w:rsidP="00454FAD">
            <w:pPr>
              <w:jc w:val="both"/>
              <w:rPr>
                <w:b/>
                <w:bCs/>
                <w:sz w:val="22"/>
                <w:szCs w:val="22"/>
              </w:rPr>
            </w:pPr>
            <w:r w:rsidRPr="002B2EF8">
              <w:rPr>
                <w:b/>
                <w:bCs/>
                <w:sz w:val="22"/>
                <w:szCs w:val="22"/>
              </w:rPr>
              <w:t xml:space="preserve">  35,70</w:t>
            </w:r>
          </w:p>
        </w:tc>
      </w:tr>
      <w:tr w:rsidR="004F459C" w:rsidRPr="00025463" w14:paraId="790C2C1F" w14:textId="77777777" w:rsidTr="00454FAD">
        <w:trPr>
          <w:trHeight w:val="70"/>
        </w:trPr>
        <w:tc>
          <w:tcPr>
            <w:tcW w:w="13435" w:type="dxa"/>
            <w:gridSpan w:val="9"/>
            <w:vAlign w:val="center"/>
          </w:tcPr>
          <w:p w14:paraId="4C05CE8F" w14:textId="77777777" w:rsidR="004F459C" w:rsidRPr="00025463" w:rsidRDefault="004F459C" w:rsidP="00454FAD">
            <w:pPr>
              <w:jc w:val="right"/>
              <w:rPr>
                <w:sz w:val="22"/>
                <w:szCs w:val="22"/>
              </w:rPr>
            </w:pPr>
            <w:r w:rsidRPr="00025463">
              <w:rPr>
                <w:b/>
                <w:bCs/>
                <w:sz w:val="22"/>
                <w:szCs w:val="22"/>
                <w:lang w:val="lt-LT" w:eastAsia="lt-LT"/>
              </w:rPr>
              <w:t>Sutarties kaina 40-ai pirkimo daliai EUR su PVM</w:t>
            </w:r>
          </w:p>
        </w:tc>
        <w:tc>
          <w:tcPr>
            <w:tcW w:w="1307" w:type="dxa"/>
            <w:vAlign w:val="center"/>
          </w:tcPr>
          <w:p w14:paraId="15D20EF5" w14:textId="77777777" w:rsidR="004F459C" w:rsidRPr="00025463" w:rsidRDefault="004F459C" w:rsidP="00454FAD">
            <w:pPr>
              <w:jc w:val="both"/>
              <w:rPr>
                <w:sz w:val="22"/>
                <w:szCs w:val="22"/>
              </w:rPr>
            </w:pPr>
          </w:p>
        </w:tc>
        <w:tc>
          <w:tcPr>
            <w:tcW w:w="1525" w:type="dxa"/>
            <w:vAlign w:val="center"/>
          </w:tcPr>
          <w:p w14:paraId="369479A9" w14:textId="77777777" w:rsidR="004F459C" w:rsidRPr="002B2EF8" w:rsidRDefault="004F459C" w:rsidP="00454FAD">
            <w:pPr>
              <w:jc w:val="both"/>
              <w:rPr>
                <w:b/>
                <w:bCs/>
                <w:sz w:val="22"/>
                <w:szCs w:val="22"/>
              </w:rPr>
            </w:pPr>
            <w:r w:rsidRPr="002B2EF8">
              <w:rPr>
                <w:b/>
                <w:bCs/>
                <w:sz w:val="22"/>
                <w:szCs w:val="22"/>
              </w:rPr>
              <w:t>205,70</w:t>
            </w:r>
          </w:p>
        </w:tc>
      </w:tr>
      <w:tr w:rsidR="004F459C" w:rsidRPr="00025463" w14:paraId="5981F38F" w14:textId="77777777" w:rsidTr="00454FAD">
        <w:trPr>
          <w:trHeight w:val="70"/>
        </w:trPr>
        <w:tc>
          <w:tcPr>
            <w:tcW w:w="1130" w:type="dxa"/>
            <w:vAlign w:val="center"/>
          </w:tcPr>
          <w:p w14:paraId="63059865"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62.</w:t>
            </w:r>
          </w:p>
        </w:tc>
        <w:tc>
          <w:tcPr>
            <w:tcW w:w="1848" w:type="dxa"/>
            <w:vAlign w:val="center"/>
          </w:tcPr>
          <w:p w14:paraId="68B453B3"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Pincetas</w:t>
            </w:r>
          </w:p>
        </w:tc>
        <w:tc>
          <w:tcPr>
            <w:tcW w:w="1984" w:type="dxa"/>
            <w:vAlign w:val="center"/>
          </w:tcPr>
          <w:p w14:paraId="68FBE147"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Chirurginis, Adson*, 15±0,5 cm, 1x2 dantukai, lygus darbinis paviršius</w:t>
            </w:r>
          </w:p>
        </w:tc>
        <w:tc>
          <w:tcPr>
            <w:tcW w:w="992" w:type="dxa"/>
            <w:vAlign w:val="center"/>
          </w:tcPr>
          <w:p w14:paraId="21FE462C"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32D6D69C"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4</w:t>
            </w:r>
          </w:p>
        </w:tc>
        <w:tc>
          <w:tcPr>
            <w:tcW w:w="1984" w:type="dxa"/>
            <w:vAlign w:val="center"/>
          </w:tcPr>
          <w:p w14:paraId="76F3E33A" w14:textId="50DEFBBE" w:rsidR="004F459C" w:rsidRPr="00025463" w:rsidRDefault="004F459C" w:rsidP="00454FAD">
            <w:pPr>
              <w:jc w:val="both"/>
              <w:rPr>
                <w:sz w:val="22"/>
                <w:szCs w:val="22"/>
              </w:rPr>
            </w:pPr>
          </w:p>
        </w:tc>
        <w:tc>
          <w:tcPr>
            <w:tcW w:w="1813" w:type="dxa"/>
            <w:vAlign w:val="center"/>
          </w:tcPr>
          <w:p w14:paraId="126D3451" w14:textId="297D8EE0" w:rsidR="004F459C" w:rsidRPr="003F5D52" w:rsidRDefault="004F459C" w:rsidP="00454FAD">
            <w:pPr>
              <w:jc w:val="both"/>
              <w:rPr>
                <w:sz w:val="22"/>
                <w:szCs w:val="22"/>
              </w:rPr>
            </w:pPr>
          </w:p>
        </w:tc>
        <w:tc>
          <w:tcPr>
            <w:tcW w:w="851" w:type="dxa"/>
            <w:vAlign w:val="center"/>
          </w:tcPr>
          <w:p w14:paraId="027CCDCA" w14:textId="17F4E839" w:rsidR="004F459C" w:rsidRPr="00025463" w:rsidRDefault="004F459C" w:rsidP="00454FAD">
            <w:pPr>
              <w:jc w:val="both"/>
              <w:rPr>
                <w:sz w:val="22"/>
                <w:szCs w:val="22"/>
              </w:rPr>
            </w:pPr>
          </w:p>
        </w:tc>
        <w:tc>
          <w:tcPr>
            <w:tcW w:w="1386" w:type="dxa"/>
            <w:vAlign w:val="center"/>
          </w:tcPr>
          <w:p w14:paraId="08EF6101" w14:textId="5C9D41DF" w:rsidR="004F459C" w:rsidRPr="00025463" w:rsidRDefault="004F459C" w:rsidP="00454FAD">
            <w:pPr>
              <w:jc w:val="both"/>
              <w:rPr>
                <w:sz w:val="22"/>
                <w:szCs w:val="22"/>
              </w:rPr>
            </w:pPr>
          </w:p>
        </w:tc>
        <w:tc>
          <w:tcPr>
            <w:tcW w:w="1307" w:type="dxa"/>
            <w:vAlign w:val="center"/>
          </w:tcPr>
          <w:p w14:paraId="626913B1" w14:textId="15D30CC3" w:rsidR="004F459C" w:rsidRPr="00025463" w:rsidRDefault="004F459C" w:rsidP="00454FAD">
            <w:pPr>
              <w:jc w:val="both"/>
              <w:rPr>
                <w:sz w:val="22"/>
                <w:szCs w:val="22"/>
              </w:rPr>
            </w:pPr>
          </w:p>
        </w:tc>
        <w:tc>
          <w:tcPr>
            <w:tcW w:w="1525" w:type="dxa"/>
            <w:vAlign w:val="center"/>
          </w:tcPr>
          <w:p w14:paraId="74256433" w14:textId="33F33F60" w:rsidR="004F459C" w:rsidRPr="00025463" w:rsidRDefault="004F459C" w:rsidP="00454FAD">
            <w:pPr>
              <w:jc w:val="both"/>
              <w:rPr>
                <w:sz w:val="22"/>
                <w:szCs w:val="22"/>
              </w:rPr>
            </w:pPr>
          </w:p>
        </w:tc>
      </w:tr>
      <w:tr w:rsidR="004F459C" w:rsidRPr="00025463" w14:paraId="38A23050" w14:textId="77777777" w:rsidTr="00454FAD">
        <w:trPr>
          <w:trHeight w:val="70"/>
        </w:trPr>
        <w:tc>
          <w:tcPr>
            <w:tcW w:w="13435" w:type="dxa"/>
            <w:gridSpan w:val="9"/>
            <w:vAlign w:val="center"/>
          </w:tcPr>
          <w:p w14:paraId="696998AD" w14:textId="77777777" w:rsidR="004F459C" w:rsidRPr="00025463" w:rsidRDefault="004F459C" w:rsidP="00454FAD">
            <w:pPr>
              <w:jc w:val="right"/>
              <w:rPr>
                <w:sz w:val="22"/>
                <w:szCs w:val="22"/>
              </w:rPr>
            </w:pPr>
            <w:r w:rsidRPr="00025463">
              <w:rPr>
                <w:b/>
                <w:bCs/>
                <w:sz w:val="22"/>
                <w:szCs w:val="22"/>
                <w:lang w:val="lt-LT" w:eastAsia="lt-LT"/>
              </w:rPr>
              <w:t>Bendra pradinė vertė 62-ai pirkimo daliai EUR be PVM</w:t>
            </w:r>
          </w:p>
        </w:tc>
        <w:tc>
          <w:tcPr>
            <w:tcW w:w="1307" w:type="dxa"/>
            <w:vAlign w:val="center"/>
          </w:tcPr>
          <w:p w14:paraId="13131BFD" w14:textId="77777777" w:rsidR="004F459C" w:rsidRPr="00025463" w:rsidRDefault="004F459C" w:rsidP="00454FAD">
            <w:pPr>
              <w:jc w:val="both"/>
              <w:rPr>
                <w:sz w:val="22"/>
                <w:szCs w:val="22"/>
              </w:rPr>
            </w:pPr>
          </w:p>
        </w:tc>
        <w:tc>
          <w:tcPr>
            <w:tcW w:w="1525" w:type="dxa"/>
            <w:vAlign w:val="center"/>
          </w:tcPr>
          <w:p w14:paraId="5F25650B" w14:textId="156C9619" w:rsidR="004F459C" w:rsidRPr="00547DC1" w:rsidRDefault="004F459C" w:rsidP="00454FAD">
            <w:pPr>
              <w:jc w:val="both"/>
              <w:rPr>
                <w:b/>
                <w:bCs/>
                <w:sz w:val="22"/>
                <w:szCs w:val="22"/>
              </w:rPr>
            </w:pPr>
          </w:p>
        </w:tc>
      </w:tr>
      <w:tr w:rsidR="004F459C" w:rsidRPr="00025463" w14:paraId="05BE63D4" w14:textId="77777777" w:rsidTr="00454FAD">
        <w:trPr>
          <w:trHeight w:val="70"/>
        </w:trPr>
        <w:tc>
          <w:tcPr>
            <w:tcW w:w="13435" w:type="dxa"/>
            <w:gridSpan w:val="9"/>
            <w:vAlign w:val="center"/>
          </w:tcPr>
          <w:p w14:paraId="41243452" w14:textId="77777777" w:rsidR="004F459C" w:rsidRPr="00025463" w:rsidRDefault="004F459C" w:rsidP="00454FAD">
            <w:pPr>
              <w:jc w:val="right"/>
              <w:rPr>
                <w:sz w:val="22"/>
                <w:szCs w:val="22"/>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suma</w:t>
            </w:r>
          </w:p>
        </w:tc>
        <w:tc>
          <w:tcPr>
            <w:tcW w:w="1307" w:type="dxa"/>
            <w:vAlign w:val="center"/>
          </w:tcPr>
          <w:p w14:paraId="24F7FDAA" w14:textId="77777777" w:rsidR="004F459C" w:rsidRPr="00025463" w:rsidRDefault="004F459C" w:rsidP="00454FAD">
            <w:pPr>
              <w:jc w:val="both"/>
              <w:rPr>
                <w:sz w:val="22"/>
                <w:szCs w:val="22"/>
              </w:rPr>
            </w:pPr>
          </w:p>
        </w:tc>
        <w:tc>
          <w:tcPr>
            <w:tcW w:w="1525" w:type="dxa"/>
            <w:vAlign w:val="center"/>
          </w:tcPr>
          <w:p w14:paraId="58CB2E5C" w14:textId="01C6EA0B" w:rsidR="004F459C" w:rsidRPr="00547DC1" w:rsidRDefault="004F459C" w:rsidP="00454FAD">
            <w:pPr>
              <w:jc w:val="both"/>
              <w:rPr>
                <w:b/>
                <w:bCs/>
                <w:sz w:val="22"/>
                <w:szCs w:val="22"/>
              </w:rPr>
            </w:pPr>
          </w:p>
        </w:tc>
      </w:tr>
      <w:tr w:rsidR="004F459C" w:rsidRPr="00025463" w14:paraId="1F21822B" w14:textId="77777777" w:rsidTr="00454FAD">
        <w:trPr>
          <w:trHeight w:val="70"/>
        </w:trPr>
        <w:tc>
          <w:tcPr>
            <w:tcW w:w="13435" w:type="dxa"/>
            <w:gridSpan w:val="9"/>
            <w:vAlign w:val="center"/>
          </w:tcPr>
          <w:p w14:paraId="74087EC6" w14:textId="77777777" w:rsidR="004F459C" w:rsidRPr="00025463" w:rsidRDefault="004F459C" w:rsidP="00454FAD">
            <w:pPr>
              <w:jc w:val="right"/>
              <w:rPr>
                <w:sz w:val="22"/>
                <w:szCs w:val="22"/>
              </w:rPr>
            </w:pPr>
            <w:r w:rsidRPr="00025463">
              <w:rPr>
                <w:b/>
                <w:bCs/>
                <w:sz w:val="22"/>
                <w:szCs w:val="22"/>
                <w:lang w:val="lt-LT" w:eastAsia="lt-LT"/>
              </w:rPr>
              <w:t>Sutarties kaina 62-ai pirkimo daliai EUR su PVM</w:t>
            </w:r>
          </w:p>
        </w:tc>
        <w:tc>
          <w:tcPr>
            <w:tcW w:w="1307" w:type="dxa"/>
            <w:vAlign w:val="center"/>
          </w:tcPr>
          <w:p w14:paraId="04F46C11" w14:textId="77777777" w:rsidR="004F459C" w:rsidRPr="00025463" w:rsidRDefault="004F459C" w:rsidP="00454FAD">
            <w:pPr>
              <w:jc w:val="both"/>
              <w:rPr>
                <w:sz w:val="22"/>
                <w:szCs w:val="22"/>
              </w:rPr>
            </w:pPr>
          </w:p>
        </w:tc>
        <w:tc>
          <w:tcPr>
            <w:tcW w:w="1525" w:type="dxa"/>
            <w:vAlign w:val="center"/>
          </w:tcPr>
          <w:p w14:paraId="2FE27EA6" w14:textId="470D5ADF" w:rsidR="004F459C" w:rsidRPr="00547DC1" w:rsidRDefault="004F459C" w:rsidP="00454FAD">
            <w:pPr>
              <w:jc w:val="both"/>
              <w:rPr>
                <w:b/>
                <w:bCs/>
                <w:sz w:val="22"/>
                <w:szCs w:val="22"/>
              </w:rPr>
            </w:pPr>
          </w:p>
        </w:tc>
      </w:tr>
      <w:tr w:rsidR="004F459C" w:rsidRPr="00025463" w14:paraId="669DA7FE" w14:textId="77777777" w:rsidTr="00454FAD">
        <w:trPr>
          <w:trHeight w:val="70"/>
        </w:trPr>
        <w:tc>
          <w:tcPr>
            <w:tcW w:w="1130" w:type="dxa"/>
            <w:vAlign w:val="center"/>
          </w:tcPr>
          <w:p w14:paraId="638B799F"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63.</w:t>
            </w:r>
          </w:p>
        </w:tc>
        <w:tc>
          <w:tcPr>
            <w:tcW w:w="1848" w:type="dxa"/>
            <w:vAlign w:val="center"/>
          </w:tcPr>
          <w:p w14:paraId="78C5A5F8"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Pincetas</w:t>
            </w:r>
          </w:p>
        </w:tc>
        <w:tc>
          <w:tcPr>
            <w:tcW w:w="1984" w:type="dxa"/>
            <w:vAlign w:val="center"/>
          </w:tcPr>
          <w:p w14:paraId="517D19CC"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Chirurginis, Micro-Adson*, 15±0,5 cm ilgio, 1x2 dantukai, darbinis galo plotis 0,8 mm</w:t>
            </w:r>
          </w:p>
        </w:tc>
        <w:tc>
          <w:tcPr>
            <w:tcW w:w="992" w:type="dxa"/>
            <w:vAlign w:val="center"/>
          </w:tcPr>
          <w:p w14:paraId="475386F1"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6A6CB19A"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66E649EB" w14:textId="028C8C1D" w:rsidR="004F459C" w:rsidRPr="00025463" w:rsidRDefault="004F459C" w:rsidP="00454FAD">
            <w:pPr>
              <w:jc w:val="both"/>
              <w:rPr>
                <w:sz w:val="22"/>
                <w:szCs w:val="22"/>
              </w:rPr>
            </w:pPr>
          </w:p>
        </w:tc>
        <w:tc>
          <w:tcPr>
            <w:tcW w:w="1813" w:type="dxa"/>
            <w:vAlign w:val="center"/>
          </w:tcPr>
          <w:p w14:paraId="307BB27C" w14:textId="0A769707" w:rsidR="004F459C" w:rsidRPr="003F5D52" w:rsidRDefault="004F459C" w:rsidP="00454FAD">
            <w:pPr>
              <w:jc w:val="both"/>
              <w:rPr>
                <w:sz w:val="22"/>
                <w:szCs w:val="22"/>
              </w:rPr>
            </w:pPr>
          </w:p>
        </w:tc>
        <w:tc>
          <w:tcPr>
            <w:tcW w:w="851" w:type="dxa"/>
            <w:vAlign w:val="center"/>
          </w:tcPr>
          <w:p w14:paraId="147B1C56" w14:textId="0F13ECF8" w:rsidR="004F459C" w:rsidRPr="00025463" w:rsidRDefault="004F459C" w:rsidP="00454FAD">
            <w:pPr>
              <w:jc w:val="both"/>
              <w:rPr>
                <w:sz w:val="22"/>
                <w:szCs w:val="22"/>
              </w:rPr>
            </w:pPr>
          </w:p>
        </w:tc>
        <w:tc>
          <w:tcPr>
            <w:tcW w:w="1386" w:type="dxa"/>
            <w:vAlign w:val="center"/>
          </w:tcPr>
          <w:p w14:paraId="51FAC830" w14:textId="22B183A4" w:rsidR="004F459C" w:rsidRPr="00025463" w:rsidRDefault="004F459C" w:rsidP="00454FAD">
            <w:pPr>
              <w:jc w:val="both"/>
              <w:rPr>
                <w:sz w:val="22"/>
                <w:szCs w:val="22"/>
              </w:rPr>
            </w:pPr>
          </w:p>
        </w:tc>
        <w:tc>
          <w:tcPr>
            <w:tcW w:w="1307" w:type="dxa"/>
            <w:vAlign w:val="center"/>
          </w:tcPr>
          <w:p w14:paraId="1CDEB514" w14:textId="25ED7BC2" w:rsidR="004F459C" w:rsidRPr="00025463" w:rsidRDefault="004F459C" w:rsidP="00454FAD">
            <w:pPr>
              <w:jc w:val="both"/>
              <w:rPr>
                <w:sz w:val="22"/>
                <w:szCs w:val="22"/>
              </w:rPr>
            </w:pPr>
          </w:p>
        </w:tc>
        <w:tc>
          <w:tcPr>
            <w:tcW w:w="1525" w:type="dxa"/>
            <w:vAlign w:val="center"/>
          </w:tcPr>
          <w:p w14:paraId="26D5795D" w14:textId="666403AA" w:rsidR="004F459C" w:rsidRPr="00025463" w:rsidRDefault="004F459C" w:rsidP="00454FAD">
            <w:pPr>
              <w:jc w:val="both"/>
              <w:rPr>
                <w:sz w:val="22"/>
                <w:szCs w:val="22"/>
              </w:rPr>
            </w:pPr>
          </w:p>
        </w:tc>
      </w:tr>
      <w:tr w:rsidR="004F459C" w:rsidRPr="00025463" w14:paraId="31113DE3" w14:textId="77777777" w:rsidTr="00454FAD">
        <w:trPr>
          <w:trHeight w:val="70"/>
        </w:trPr>
        <w:tc>
          <w:tcPr>
            <w:tcW w:w="13435" w:type="dxa"/>
            <w:gridSpan w:val="9"/>
            <w:vAlign w:val="center"/>
          </w:tcPr>
          <w:p w14:paraId="4942B8DA" w14:textId="77777777" w:rsidR="004F459C" w:rsidRPr="00025463" w:rsidRDefault="004F459C" w:rsidP="00454FAD">
            <w:pPr>
              <w:jc w:val="right"/>
              <w:rPr>
                <w:sz w:val="22"/>
                <w:szCs w:val="22"/>
              </w:rPr>
            </w:pPr>
            <w:r w:rsidRPr="00025463">
              <w:rPr>
                <w:b/>
                <w:bCs/>
                <w:sz w:val="22"/>
                <w:szCs w:val="22"/>
                <w:lang w:val="lt-LT" w:eastAsia="lt-LT"/>
              </w:rPr>
              <w:t>Bendra pradinė vertė 63-ai pirkimo daliai EUR be PVM</w:t>
            </w:r>
          </w:p>
        </w:tc>
        <w:tc>
          <w:tcPr>
            <w:tcW w:w="1307" w:type="dxa"/>
            <w:vAlign w:val="center"/>
          </w:tcPr>
          <w:p w14:paraId="1FBA6D85" w14:textId="77777777" w:rsidR="004F459C" w:rsidRPr="00025463" w:rsidRDefault="004F459C" w:rsidP="00454FAD">
            <w:pPr>
              <w:jc w:val="both"/>
              <w:rPr>
                <w:sz w:val="22"/>
                <w:szCs w:val="22"/>
              </w:rPr>
            </w:pPr>
          </w:p>
        </w:tc>
        <w:tc>
          <w:tcPr>
            <w:tcW w:w="1525" w:type="dxa"/>
            <w:vAlign w:val="center"/>
          </w:tcPr>
          <w:p w14:paraId="4E08577D" w14:textId="64E7DA39" w:rsidR="004F459C" w:rsidRPr="00547DC1" w:rsidRDefault="004F459C" w:rsidP="00454FAD">
            <w:pPr>
              <w:jc w:val="both"/>
              <w:rPr>
                <w:b/>
                <w:bCs/>
                <w:sz w:val="22"/>
                <w:szCs w:val="22"/>
              </w:rPr>
            </w:pPr>
          </w:p>
        </w:tc>
      </w:tr>
      <w:tr w:rsidR="004F459C" w:rsidRPr="00025463" w14:paraId="78226FF9" w14:textId="77777777" w:rsidTr="00454FAD">
        <w:trPr>
          <w:trHeight w:val="70"/>
        </w:trPr>
        <w:tc>
          <w:tcPr>
            <w:tcW w:w="13435" w:type="dxa"/>
            <w:gridSpan w:val="9"/>
            <w:vAlign w:val="center"/>
          </w:tcPr>
          <w:p w14:paraId="7D800162" w14:textId="77777777" w:rsidR="004F459C" w:rsidRPr="00025463" w:rsidRDefault="004F459C" w:rsidP="00454FAD">
            <w:pPr>
              <w:jc w:val="right"/>
              <w:rPr>
                <w:sz w:val="22"/>
                <w:szCs w:val="22"/>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suma</w:t>
            </w:r>
          </w:p>
        </w:tc>
        <w:tc>
          <w:tcPr>
            <w:tcW w:w="1307" w:type="dxa"/>
            <w:vAlign w:val="center"/>
          </w:tcPr>
          <w:p w14:paraId="32C1F73A" w14:textId="77777777" w:rsidR="004F459C" w:rsidRPr="00025463" w:rsidRDefault="004F459C" w:rsidP="00454FAD">
            <w:pPr>
              <w:jc w:val="both"/>
              <w:rPr>
                <w:sz w:val="22"/>
                <w:szCs w:val="22"/>
              </w:rPr>
            </w:pPr>
          </w:p>
        </w:tc>
        <w:tc>
          <w:tcPr>
            <w:tcW w:w="1525" w:type="dxa"/>
            <w:vAlign w:val="center"/>
          </w:tcPr>
          <w:p w14:paraId="563631D4" w14:textId="2DABA490" w:rsidR="004F459C" w:rsidRPr="00547DC1" w:rsidRDefault="004F459C" w:rsidP="00454FAD">
            <w:pPr>
              <w:jc w:val="both"/>
              <w:rPr>
                <w:b/>
                <w:bCs/>
                <w:sz w:val="22"/>
                <w:szCs w:val="22"/>
              </w:rPr>
            </w:pPr>
          </w:p>
        </w:tc>
      </w:tr>
      <w:tr w:rsidR="004F459C" w:rsidRPr="00025463" w14:paraId="598828AD" w14:textId="77777777" w:rsidTr="00454FAD">
        <w:trPr>
          <w:trHeight w:val="70"/>
        </w:trPr>
        <w:tc>
          <w:tcPr>
            <w:tcW w:w="13435" w:type="dxa"/>
            <w:gridSpan w:val="9"/>
            <w:vAlign w:val="center"/>
          </w:tcPr>
          <w:p w14:paraId="5C2E9B1E" w14:textId="77777777" w:rsidR="004F459C" w:rsidRPr="00025463" w:rsidRDefault="004F459C" w:rsidP="00454FAD">
            <w:pPr>
              <w:jc w:val="right"/>
              <w:rPr>
                <w:sz w:val="22"/>
                <w:szCs w:val="22"/>
              </w:rPr>
            </w:pPr>
            <w:r w:rsidRPr="00025463">
              <w:rPr>
                <w:b/>
                <w:bCs/>
                <w:sz w:val="22"/>
                <w:szCs w:val="22"/>
                <w:lang w:val="lt-LT" w:eastAsia="lt-LT"/>
              </w:rPr>
              <w:t>Sutarties kaina 63-ai pirkimo daliai EUR su PVM</w:t>
            </w:r>
          </w:p>
        </w:tc>
        <w:tc>
          <w:tcPr>
            <w:tcW w:w="1307" w:type="dxa"/>
            <w:vAlign w:val="center"/>
          </w:tcPr>
          <w:p w14:paraId="0301AAE3" w14:textId="77777777" w:rsidR="004F459C" w:rsidRPr="00025463" w:rsidRDefault="004F459C" w:rsidP="00454FAD">
            <w:pPr>
              <w:jc w:val="both"/>
              <w:rPr>
                <w:sz w:val="22"/>
                <w:szCs w:val="22"/>
              </w:rPr>
            </w:pPr>
          </w:p>
        </w:tc>
        <w:tc>
          <w:tcPr>
            <w:tcW w:w="1525" w:type="dxa"/>
            <w:vAlign w:val="center"/>
          </w:tcPr>
          <w:p w14:paraId="720589E6" w14:textId="2CD4E95A" w:rsidR="004F459C" w:rsidRPr="00547DC1" w:rsidRDefault="004F459C" w:rsidP="00454FAD">
            <w:pPr>
              <w:jc w:val="both"/>
              <w:rPr>
                <w:b/>
                <w:bCs/>
                <w:sz w:val="22"/>
                <w:szCs w:val="22"/>
              </w:rPr>
            </w:pPr>
          </w:p>
        </w:tc>
      </w:tr>
      <w:tr w:rsidR="004F459C" w:rsidRPr="00025463" w14:paraId="7A3FC90B" w14:textId="77777777" w:rsidTr="00454FAD">
        <w:trPr>
          <w:trHeight w:val="70"/>
        </w:trPr>
        <w:tc>
          <w:tcPr>
            <w:tcW w:w="1130" w:type="dxa"/>
            <w:vAlign w:val="center"/>
          </w:tcPr>
          <w:p w14:paraId="578D69CF"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64.</w:t>
            </w:r>
          </w:p>
        </w:tc>
        <w:tc>
          <w:tcPr>
            <w:tcW w:w="1848" w:type="dxa"/>
            <w:vAlign w:val="center"/>
          </w:tcPr>
          <w:p w14:paraId="672118CB"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Pincetas</w:t>
            </w:r>
          </w:p>
        </w:tc>
        <w:tc>
          <w:tcPr>
            <w:tcW w:w="1984" w:type="dxa"/>
            <w:vAlign w:val="center"/>
          </w:tcPr>
          <w:p w14:paraId="7BC1017A"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Chirurginiai, Falcon* 1x2 dantukai 12 cm</w:t>
            </w:r>
          </w:p>
        </w:tc>
        <w:tc>
          <w:tcPr>
            <w:tcW w:w="992" w:type="dxa"/>
            <w:vAlign w:val="center"/>
          </w:tcPr>
          <w:p w14:paraId="3662AE71"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02CAE81E"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20</w:t>
            </w:r>
          </w:p>
        </w:tc>
        <w:tc>
          <w:tcPr>
            <w:tcW w:w="1984" w:type="dxa"/>
            <w:vAlign w:val="center"/>
          </w:tcPr>
          <w:p w14:paraId="3D3769D1" w14:textId="77777777" w:rsidR="004F459C" w:rsidRPr="00025463" w:rsidRDefault="004F459C" w:rsidP="00454FAD">
            <w:pPr>
              <w:jc w:val="both"/>
              <w:rPr>
                <w:sz w:val="22"/>
                <w:szCs w:val="22"/>
              </w:rPr>
            </w:pPr>
            <w:r w:rsidRPr="00A94D01">
              <w:rPr>
                <w:rFonts w:eastAsia="Times New Roman"/>
                <w:color w:val="000000"/>
                <w:bdr w:val="none" w:sz="0" w:space="0" w:color="auto"/>
                <w:lang w:val="lt-LT" w:eastAsia="lt-LT"/>
              </w:rPr>
              <w:t>Chirurginiai, Falcon* 1x2 dantukai 1</w:t>
            </w:r>
            <w:r>
              <w:rPr>
                <w:rFonts w:eastAsia="Times New Roman"/>
                <w:color w:val="000000"/>
                <w:bdr w:val="none" w:sz="0" w:space="0" w:color="auto"/>
                <w:lang w:val="lt-LT" w:eastAsia="lt-LT"/>
              </w:rPr>
              <w:t>2</w:t>
            </w:r>
            <w:r w:rsidRPr="00A94D01">
              <w:rPr>
                <w:rFonts w:eastAsia="Times New Roman"/>
                <w:color w:val="000000"/>
                <w:bdr w:val="none" w:sz="0" w:space="0" w:color="auto"/>
                <w:lang w:val="lt-LT" w:eastAsia="lt-LT"/>
              </w:rPr>
              <w:t xml:space="preserve"> cm</w:t>
            </w:r>
            <w:r>
              <w:rPr>
                <w:rFonts w:eastAsia="Times New Roman"/>
                <w:color w:val="000000"/>
                <w:bdr w:val="none" w:sz="0" w:space="0" w:color="auto"/>
                <w:lang w:val="lt-LT" w:eastAsia="lt-LT"/>
              </w:rPr>
              <w:t xml:space="preserve"> Falcon</w:t>
            </w:r>
          </w:p>
        </w:tc>
        <w:tc>
          <w:tcPr>
            <w:tcW w:w="1813" w:type="dxa"/>
            <w:vAlign w:val="center"/>
          </w:tcPr>
          <w:p w14:paraId="11E34322" w14:textId="77777777" w:rsidR="004F459C" w:rsidRDefault="004F459C" w:rsidP="00454FAD">
            <w:pPr>
              <w:jc w:val="both"/>
              <w:rPr>
                <w:b/>
                <w:bCs/>
                <w:sz w:val="22"/>
                <w:szCs w:val="22"/>
              </w:rPr>
            </w:pPr>
            <w:r w:rsidRPr="00E955AF">
              <w:rPr>
                <w:b/>
                <w:bCs/>
                <w:sz w:val="22"/>
                <w:szCs w:val="22"/>
              </w:rPr>
              <w:t>BD.752.115</w:t>
            </w:r>
          </w:p>
          <w:p w14:paraId="56932F6A" w14:textId="77777777" w:rsidR="004F459C" w:rsidRDefault="004F459C" w:rsidP="00454FAD">
            <w:pPr>
              <w:jc w:val="both"/>
              <w:rPr>
                <w:b/>
                <w:bCs/>
                <w:sz w:val="22"/>
                <w:szCs w:val="22"/>
              </w:rPr>
            </w:pPr>
          </w:p>
          <w:p w14:paraId="678EDAF5" w14:textId="77777777" w:rsidR="004F459C" w:rsidRPr="00E955AF" w:rsidRDefault="004F459C" w:rsidP="00454FAD">
            <w:pPr>
              <w:jc w:val="both"/>
              <w:rPr>
                <w:sz w:val="22"/>
                <w:szCs w:val="22"/>
              </w:rPr>
            </w:pPr>
            <w:r w:rsidRPr="00E955AF">
              <w:rPr>
                <w:sz w:val="22"/>
                <w:szCs w:val="22"/>
              </w:rPr>
              <w:t>Katalogas 64 P.d.</w:t>
            </w:r>
          </w:p>
        </w:tc>
        <w:tc>
          <w:tcPr>
            <w:tcW w:w="851" w:type="dxa"/>
            <w:vAlign w:val="center"/>
          </w:tcPr>
          <w:p w14:paraId="6E72E6F5" w14:textId="77777777" w:rsidR="004F459C" w:rsidRPr="00025463" w:rsidRDefault="004F459C" w:rsidP="00454FAD">
            <w:pPr>
              <w:jc w:val="both"/>
              <w:rPr>
                <w:sz w:val="22"/>
                <w:szCs w:val="22"/>
              </w:rPr>
            </w:pPr>
            <w:r w:rsidRPr="00025463">
              <w:rPr>
                <w:sz w:val="22"/>
                <w:szCs w:val="22"/>
              </w:rPr>
              <w:t>21%</w:t>
            </w:r>
          </w:p>
        </w:tc>
        <w:tc>
          <w:tcPr>
            <w:tcW w:w="1386" w:type="dxa"/>
            <w:vAlign w:val="center"/>
          </w:tcPr>
          <w:p w14:paraId="49132BCE" w14:textId="77777777" w:rsidR="004F459C" w:rsidRPr="00025463" w:rsidRDefault="004F459C" w:rsidP="00454FAD">
            <w:pPr>
              <w:jc w:val="both"/>
              <w:rPr>
                <w:sz w:val="22"/>
                <w:szCs w:val="22"/>
              </w:rPr>
            </w:pPr>
            <w:r>
              <w:rPr>
                <w:sz w:val="22"/>
                <w:szCs w:val="22"/>
              </w:rPr>
              <w:t>5,44</w:t>
            </w:r>
          </w:p>
        </w:tc>
        <w:tc>
          <w:tcPr>
            <w:tcW w:w="1307" w:type="dxa"/>
            <w:vAlign w:val="center"/>
          </w:tcPr>
          <w:p w14:paraId="7F845FC3" w14:textId="77777777" w:rsidR="004F459C" w:rsidRPr="00025463" w:rsidRDefault="004F459C" w:rsidP="00454FAD">
            <w:pPr>
              <w:jc w:val="both"/>
              <w:rPr>
                <w:sz w:val="22"/>
                <w:szCs w:val="22"/>
              </w:rPr>
            </w:pPr>
            <w:r>
              <w:rPr>
                <w:sz w:val="22"/>
                <w:szCs w:val="22"/>
              </w:rPr>
              <w:t>6,58</w:t>
            </w:r>
          </w:p>
        </w:tc>
        <w:tc>
          <w:tcPr>
            <w:tcW w:w="1525" w:type="dxa"/>
            <w:vAlign w:val="center"/>
          </w:tcPr>
          <w:p w14:paraId="145ACB8E" w14:textId="77777777" w:rsidR="004F459C" w:rsidRPr="00025463" w:rsidRDefault="004F459C" w:rsidP="00454FAD">
            <w:pPr>
              <w:jc w:val="both"/>
              <w:rPr>
                <w:sz w:val="22"/>
                <w:szCs w:val="22"/>
              </w:rPr>
            </w:pPr>
            <w:r>
              <w:rPr>
                <w:sz w:val="22"/>
                <w:szCs w:val="22"/>
              </w:rPr>
              <w:t>108,80</w:t>
            </w:r>
          </w:p>
        </w:tc>
      </w:tr>
      <w:tr w:rsidR="004F459C" w:rsidRPr="00025463" w14:paraId="666F9B36" w14:textId="77777777" w:rsidTr="00454FAD">
        <w:trPr>
          <w:trHeight w:val="70"/>
        </w:trPr>
        <w:tc>
          <w:tcPr>
            <w:tcW w:w="13435" w:type="dxa"/>
            <w:gridSpan w:val="9"/>
            <w:vAlign w:val="center"/>
          </w:tcPr>
          <w:p w14:paraId="7C10AF9E" w14:textId="77777777" w:rsidR="004F459C" w:rsidRPr="00025463" w:rsidRDefault="004F459C" w:rsidP="00454FAD">
            <w:pPr>
              <w:jc w:val="right"/>
              <w:rPr>
                <w:sz w:val="22"/>
                <w:szCs w:val="22"/>
              </w:rPr>
            </w:pPr>
            <w:r w:rsidRPr="00025463">
              <w:rPr>
                <w:b/>
                <w:bCs/>
                <w:sz w:val="22"/>
                <w:szCs w:val="22"/>
                <w:lang w:val="lt-LT" w:eastAsia="lt-LT"/>
              </w:rPr>
              <w:t>Bendra pradinė vertė 64-ai pirkimo daliai EUR be PVM</w:t>
            </w:r>
          </w:p>
        </w:tc>
        <w:tc>
          <w:tcPr>
            <w:tcW w:w="1307" w:type="dxa"/>
            <w:vAlign w:val="center"/>
          </w:tcPr>
          <w:p w14:paraId="272E2DB8" w14:textId="77777777" w:rsidR="004F459C" w:rsidRPr="00025463" w:rsidRDefault="004F459C" w:rsidP="00454FAD">
            <w:pPr>
              <w:jc w:val="both"/>
              <w:rPr>
                <w:sz w:val="22"/>
                <w:szCs w:val="22"/>
              </w:rPr>
            </w:pPr>
          </w:p>
        </w:tc>
        <w:tc>
          <w:tcPr>
            <w:tcW w:w="1525" w:type="dxa"/>
            <w:vAlign w:val="center"/>
          </w:tcPr>
          <w:p w14:paraId="319CC649" w14:textId="77777777" w:rsidR="004F459C" w:rsidRPr="00E955AF" w:rsidRDefault="004F459C" w:rsidP="00454FAD">
            <w:pPr>
              <w:jc w:val="both"/>
              <w:rPr>
                <w:b/>
                <w:bCs/>
                <w:sz w:val="22"/>
                <w:szCs w:val="22"/>
              </w:rPr>
            </w:pPr>
            <w:r w:rsidRPr="00E955AF">
              <w:rPr>
                <w:b/>
                <w:bCs/>
                <w:sz w:val="22"/>
                <w:szCs w:val="22"/>
              </w:rPr>
              <w:t>108,80</w:t>
            </w:r>
          </w:p>
        </w:tc>
      </w:tr>
      <w:tr w:rsidR="004F459C" w:rsidRPr="00025463" w14:paraId="7BCF9344" w14:textId="77777777" w:rsidTr="00454FAD">
        <w:trPr>
          <w:trHeight w:val="70"/>
        </w:trPr>
        <w:tc>
          <w:tcPr>
            <w:tcW w:w="13435" w:type="dxa"/>
            <w:gridSpan w:val="9"/>
            <w:vAlign w:val="center"/>
          </w:tcPr>
          <w:p w14:paraId="62A24566" w14:textId="77777777" w:rsidR="004F459C" w:rsidRPr="00025463" w:rsidRDefault="004F459C" w:rsidP="00454FAD">
            <w:pPr>
              <w:jc w:val="right"/>
              <w:rPr>
                <w:sz w:val="22"/>
                <w:szCs w:val="22"/>
              </w:rPr>
            </w:pPr>
            <w:r w:rsidRPr="00025463">
              <w:rPr>
                <w:b/>
                <w:bCs/>
                <w:sz w:val="22"/>
                <w:szCs w:val="22"/>
                <w:lang w:val="lt-LT" w:eastAsia="lt-LT"/>
              </w:rPr>
              <w:t xml:space="preserve">PVM ( </w:t>
            </w:r>
            <w:r>
              <w:rPr>
                <w:b/>
                <w:bCs/>
                <w:sz w:val="22"/>
                <w:szCs w:val="22"/>
                <w:lang w:val="lt-LT" w:eastAsia="lt-LT"/>
              </w:rPr>
              <w:t>21</w:t>
            </w:r>
            <w:r w:rsidRPr="00025463">
              <w:rPr>
                <w:b/>
                <w:bCs/>
                <w:sz w:val="22"/>
                <w:szCs w:val="22"/>
                <w:lang w:val="lt-LT" w:eastAsia="lt-LT"/>
              </w:rPr>
              <w:t>%) suma</w:t>
            </w:r>
          </w:p>
        </w:tc>
        <w:tc>
          <w:tcPr>
            <w:tcW w:w="1307" w:type="dxa"/>
            <w:vAlign w:val="center"/>
          </w:tcPr>
          <w:p w14:paraId="064D51A5" w14:textId="77777777" w:rsidR="004F459C" w:rsidRPr="00025463" w:rsidRDefault="004F459C" w:rsidP="00454FAD">
            <w:pPr>
              <w:jc w:val="both"/>
              <w:rPr>
                <w:sz w:val="22"/>
                <w:szCs w:val="22"/>
              </w:rPr>
            </w:pPr>
          </w:p>
        </w:tc>
        <w:tc>
          <w:tcPr>
            <w:tcW w:w="1525" w:type="dxa"/>
            <w:vAlign w:val="center"/>
          </w:tcPr>
          <w:p w14:paraId="5F41D685" w14:textId="77777777" w:rsidR="004F459C" w:rsidRPr="00E955AF" w:rsidRDefault="004F459C" w:rsidP="00454FAD">
            <w:pPr>
              <w:jc w:val="both"/>
              <w:rPr>
                <w:b/>
                <w:bCs/>
                <w:sz w:val="22"/>
                <w:szCs w:val="22"/>
              </w:rPr>
            </w:pPr>
            <w:r w:rsidRPr="00E955AF">
              <w:rPr>
                <w:b/>
                <w:bCs/>
                <w:sz w:val="22"/>
                <w:szCs w:val="22"/>
              </w:rPr>
              <w:t xml:space="preserve">  22,85</w:t>
            </w:r>
          </w:p>
        </w:tc>
      </w:tr>
      <w:tr w:rsidR="004F459C" w:rsidRPr="00025463" w14:paraId="42F490D2" w14:textId="77777777" w:rsidTr="00454FAD">
        <w:trPr>
          <w:trHeight w:val="70"/>
        </w:trPr>
        <w:tc>
          <w:tcPr>
            <w:tcW w:w="13435" w:type="dxa"/>
            <w:gridSpan w:val="9"/>
            <w:vAlign w:val="center"/>
          </w:tcPr>
          <w:p w14:paraId="65518792" w14:textId="77777777" w:rsidR="004F459C" w:rsidRPr="00025463" w:rsidRDefault="004F459C" w:rsidP="00454FAD">
            <w:pPr>
              <w:jc w:val="right"/>
              <w:rPr>
                <w:sz w:val="22"/>
                <w:szCs w:val="22"/>
              </w:rPr>
            </w:pPr>
            <w:r w:rsidRPr="00025463">
              <w:rPr>
                <w:b/>
                <w:bCs/>
                <w:sz w:val="22"/>
                <w:szCs w:val="22"/>
                <w:lang w:val="lt-LT" w:eastAsia="lt-LT"/>
              </w:rPr>
              <w:t>Sutarties kaina 64-ai pirkimo daliai EUR su PVM</w:t>
            </w:r>
          </w:p>
        </w:tc>
        <w:tc>
          <w:tcPr>
            <w:tcW w:w="1307" w:type="dxa"/>
            <w:vAlign w:val="center"/>
          </w:tcPr>
          <w:p w14:paraId="03CACD3A" w14:textId="77777777" w:rsidR="004F459C" w:rsidRPr="00025463" w:rsidRDefault="004F459C" w:rsidP="00454FAD">
            <w:pPr>
              <w:jc w:val="both"/>
              <w:rPr>
                <w:sz w:val="22"/>
                <w:szCs w:val="22"/>
              </w:rPr>
            </w:pPr>
          </w:p>
        </w:tc>
        <w:tc>
          <w:tcPr>
            <w:tcW w:w="1525" w:type="dxa"/>
            <w:vAlign w:val="center"/>
          </w:tcPr>
          <w:p w14:paraId="162FCDBD" w14:textId="77777777" w:rsidR="004F459C" w:rsidRPr="00E955AF" w:rsidRDefault="004F459C" w:rsidP="00454FAD">
            <w:pPr>
              <w:jc w:val="both"/>
              <w:rPr>
                <w:b/>
                <w:bCs/>
                <w:sz w:val="22"/>
                <w:szCs w:val="22"/>
              </w:rPr>
            </w:pPr>
            <w:r w:rsidRPr="00E955AF">
              <w:rPr>
                <w:b/>
                <w:bCs/>
                <w:sz w:val="22"/>
                <w:szCs w:val="22"/>
              </w:rPr>
              <w:t>131,65</w:t>
            </w:r>
          </w:p>
        </w:tc>
      </w:tr>
      <w:tr w:rsidR="004F459C" w:rsidRPr="00025463" w14:paraId="414F683E" w14:textId="77777777" w:rsidTr="00454FAD">
        <w:trPr>
          <w:trHeight w:val="70"/>
        </w:trPr>
        <w:tc>
          <w:tcPr>
            <w:tcW w:w="1130" w:type="dxa"/>
            <w:vAlign w:val="center"/>
          </w:tcPr>
          <w:p w14:paraId="3B6494DE"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65.</w:t>
            </w:r>
          </w:p>
        </w:tc>
        <w:tc>
          <w:tcPr>
            <w:tcW w:w="1848" w:type="dxa"/>
            <w:vAlign w:val="center"/>
          </w:tcPr>
          <w:p w14:paraId="1CAFD48E"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Pincetas</w:t>
            </w:r>
          </w:p>
        </w:tc>
        <w:tc>
          <w:tcPr>
            <w:tcW w:w="1984" w:type="dxa"/>
            <w:vAlign w:val="center"/>
          </w:tcPr>
          <w:p w14:paraId="2079FF24"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Chirurginiai, Falcon* 1x2 dantukai 14 cm</w:t>
            </w:r>
          </w:p>
        </w:tc>
        <w:tc>
          <w:tcPr>
            <w:tcW w:w="992" w:type="dxa"/>
            <w:vAlign w:val="center"/>
          </w:tcPr>
          <w:p w14:paraId="033DBA5C"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72230A53"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4550071E" w14:textId="77777777" w:rsidR="004F459C" w:rsidRPr="00025463" w:rsidRDefault="004F459C" w:rsidP="00454FAD">
            <w:pPr>
              <w:jc w:val="both"/>
              <w:rPr>
                <w:sz w:val="22"/>
                <w:szCs w:val="22"/>
              </w:rPr>
            </w:pPr>
            <w:r w:rsidRPr="00A94D01">
              <w:rPr>
                <w:rFonts w:eastAsia="Times New Roman"/>
                <w:color w:val="000000"/>
                <w:bdr w:val="none" w:sz="0" w:space="0" w:color="auto"/>
                <w:lang w:val="lt-LT" w:eastAsia="lt-LT"/>
              </w:rPr>
              <w:t>Chirurginiai, Falcon* 1x2 dantukai 14 cm</w:t>
            </w:r>
            <w:r>
              <w:rPr>
                <w:rFonts w:eastAsia="Times New Roman"/>
                <w:color w:val="000000"/>
                <w:bdr w:val="none" w:sz="0" w:space="0" w:color="auto"/>
                <w:lang w:val="lt-LT" w:eastAsia="lt-LT"/>
              </w:rPr>
              <w:t xml:space="preserve"> Falcon</w:t>
            </w:r>
          </w:p>
        </w:tc>
        <w:tc>
          <w:tcPr>
            <w:tcW w:w="1813" w:type="dxa"/>
            <w:vAlign w:val="center"/>
          </w:tcPr>
          <w:p w14:paraId="2A2DE922" w14:textId="77777777" w:rsidR="004F459C" w:rsidRPr="00E955AF" w:rsidRDefault="004F459C" w:rsidP="00454FAD">
            <w:pPr>
              <w:jc w:val="both"/>
              <w:rPr>
                <w:b/>
                <w:bCs/>
                <w:sz w:val="22"/>
                <w:szCs w:val="22"/>
              </w:rPr>
            </w:pPr>
            <w:r w:rsidRPr="00E955AF">
              <w:rPr>
                <w:b/>
                <w:bCs/>
                <w:sz w:val="22"/>
                <w:szCs w:val="22"/>
              </w:rPr>
              <w:t>BD.752.145</w:t>
            </w:r>
          </w:p>
        </w:tc>
        <w:tc>
          <w:tcPr>
            <w:tcW w:w="851" w:type="dxa"/>
            <w:vAlign w:val="center"/>
          </w:tcPr>
          <w:p w14:paraId="3E559205" w14:textId="77777777" w:rsidR="004F459C" w:rsidRPr="00025463" w:rsidRDefault="004F459C" w:rsidP="00454FAD">
            <w:pPr>
              <w:jc w:val="both"/>
              <w:rPr>
                <w:sz w:val="22"/>
                <w:szCs w:val="22"/>
              </w:rPr>
            </w:pPr>
            <w:r w:rsidRPr="00025463">
              <w:rPr>
                <w:sz w:val="22"/>
                <w:szCs w:val="22"/>
              </w:rPr>
              <w:t>21%</w:t>
            </w:r>
          </w:p>
        </w:tc>
        <w:tc>
          <w:tcPr>
            <w:tcW w:w="1386" w:type="dxa"/>
            <w:vAlign w:val="center"/>
          </w:tcPr>
          <w:p w14:paraId="73CFAD65" w14:textId="77777777" w:rsidR="004F459C" w:rsidRPr="00025463" w:rsidRDefault="004F459C" w:rsidP="00454FAD">
            <w:pPr>
              <w:jc w:val="both"/>
              <w:rPr>
                <w:sz w:val="22"/>
                <w:szCs w:val="22"/>
              </w:rPr>
            </w:pPr>
            <w:r>
              <w:rPr>
                <w:sz w:val="22"/>
                <w:szCs w:val="22"/>
              </w:rPr>
              <w:t>6,12</w:t>
            </w:r>
          </w:p>
        </w:tc>
        <w:tc>
          <w:tcPr>
            <w:tcW w:w="1307" w:type="dxa"/>
            <w:vAlign w:val="center"/>
          </w:tcPr>
          <w:p w14:paraId="013BE4E5" w14:textId="77777777" w:rsidR="004F459C" w:rsidRPr="00025463" w:rsidRDefault="004F459C" w:rsidP="00454FAD">
            <w:pPr>
              <w:jc w:val="both"/>
              <w:rPr>
                <w:sz w:val="22"/>
                <w:szCs w:val="22"/>
              </w:rPr>
            </w:pPr>
            <w:r>
              <w:rPr>
                <w:sz w:val="22"/>
                <w:szCs w:val="22"/>
              </w:rPr>
              <w:t>7,41</w:t>
            </w:r>
          </w:p>
        </w:tc>
        <w:tc>
          <w:tcPr>
            <w:tcW w:w="1525" w:type="dxa"/>
            <w:vAlign w:val="center"/>
          </w:tcPr>
          <w:p w14:paraId="71C8D990" w14:textId="77777777" w:rsidR="004F459C" w:rsidRPr="00025463" w:rsidRDefault="004F459C" w:rsidP="00454FAD">
            <w:pPr>
              <w:jc w:val="both"/>
              <w:rPr>
                <w:sz w:val="22"/>
                <w:szCs w:val="22"/>
              </w:rPr>
            </w:pPr>
            <w:r>
              <w:rPr>
                <w:sz w:val="22"/>
                <w:szCs w:val="22"/>
              </w:rPr>
              <w:t>61,20</w:t>
            </w:r>
          </w:p>
        </w:tc>
      </w:tr>
      <w:tr w:rsidR="004F459C" w:rsidRPr="00025463" w14:paraId="4357816B" w14:textId="77777777" w:rsidTr="00454FAD">
        <w:trPr>
          <w:trHeight w:val="70"/>
        </w:trPr>
        <w:tc>
          <w:tcPr>
            <w:tcW w:w="13435" w:type="dxa"/>
            <w:gridSpan w:val="9"/>
            <w:vAlign w:val="center"/>
          </w:tcPr>
          <w:p w14:paraId="1E5EEC5D" w14:textId="77777777" w:rsidR="004F459C" w:rsidRPr="00025463" w:rsidRDefault="004F459C" w:rsidP="00454FAD">
            <w:pPr>
              <w:jc w:val="right"/>
              <w:rPr>
                <w:sz w:val="22"/>
                <w:szCs w:val="22"/>
              </w:rPr>
            </w:pPr>
            <w:r w:rsidRPr="00025463">
              <w:rPr>
                <w:b/>
                <w:bCs/>
                <w:sz w:val="22"/>
                <w:szCs w:val="22"/>
                <w:lang w:val="lt-LT" w:eastAsia="lt-LT"/>
              </w:rPr>
              <w:t>Bendra pradinė vertė 65-ai pirkimo daliai EUR be PVM</w:t>
            </w:r>
          </w:p>
        </w:tc>
        <w:tc>
          <w:tcPr>
            <w:tcW w:w="1307" w:type="dxa"/>
            <w:vAlign w:val="center"/>
          </w:tcPr>
          <w:p w14:paraId="3A9E7D75" w14:textId="77777777" w:rsidR="004F459C" w:rsidRPr="00025463" w:rsidRDefault="004F459C" w:rsidP="00454FAD">
            <w:pPr>
              <w:jc w:val="both"/>
              <w:rPr>
                <w:sz w:val="22"/>
                <w:szCs w:val="22"/>
              </w:rPr>
            </w:pPr>
          </w:p>
        </w:tc>
        <w:tc>
          <w:tcPr>
            <w:tcW w:w="1525" w:type="dxa"/>
            <w:vAlign w:val="center"/>
          </w:tcPr>
          <w:p w14:paraId="6D3FCAE4" w14:textId="77777777" w:rsidR="004F459C" w:rsidRPr="00E955AF" w:rsidRDefault="004F459C" w:rsidP="00454FAD">
            <w:pPr>
              <w:jc w:val="both"/>
              <w:rPr>
                <w:b/>
                <w:bCs/>
                <w:sz w:val="22"/>
                <w:szCs w:val="22"/>
              </w:rPr>
            </w:pPr>
            <w:r w:rsidRPr="00E955AF">
              <w:rPr>
                <w:b/>
                <w:bCs/>
                <w:sz w:val="22"/>
                <w:szCs w:val="22"/>
              </w:rPr>
              <w:t>61,20</w:t>
            </w:r>
          </w:p>
        </w:tc>
      </w:tr>
      <w:tr w:rsidR="004F459C" w:rsidRPr="00025463" w14:paraId="362A441C" w14:textId="77777777" w:rsidTr="00454FAD">
        <w:trPr>
          <w:trHeight w:val="70"/>
        </w:trPr>
        <w:tc>
          <w:tcPr>
            <w:tcW w:w="13435" w:type="dxa"/>
            <w:gridSpan w:val="9"/>
            <w:vAlign w:val="center"/>
          </w:tcPr>
          <w:p w14:paraId="0F0CB1A0" w14:textId="77777777" w:rsidR="004F459C" w:rsidRPr="00025463" w:rsidRDefault="004F459C" w:rsidP="00454FAD">
            <w:pPr>
              <w:jc w:val="right"/>
              <w:rPr>
                <w:sz w:val="22"/>
                <w:szCs w:val="22"/>
              </w:rPr>
            </w:pPr>
            <w:r w:rsidRPr="00025463">
              <w:rPr>
                <w:b/>
                <w:bCs/>
                <w:sz w:val="22"/>
                <w:szCs w:val="22"/>
                <w:lang w:val="lt-LT" w:eastAsia="lt-LT"/>
              </w:rPr>
              <w:lastRenderedPageBreak/>
              <w:t xml:space="preserve">PVM ( </w:t>
            </w:r>
            <w:r>
              <w:rPr>
                <w:b/>
                <w:bCs/>
                <w:sz w:val="22"/>
                <w:szCs w:val="22"/>
                <w:lang w:val="lt-LT" w:eastAsia="lt-LT"/>
              </w:rPr>
              <w:t>21</w:t>
            </w:r>
            <w:r w:rsidRPr="00025463">
              <w:rPr>
                <w:b/>
                <w:bCs/>
                <w:sz w:val="22"/>
                <w:szCs w:val="22"/>
                <w:lang w:val="lt-LT" w:eastAsia="lt-LT"/>
              </w:rPr>
              <w:t>%) suma</w:t>
            </w:r>
          </w:p>
        </w:tc>
        <w:tc>
          <w:tcPr>
            <w:tcW w:w="1307" w:type="dxa"/>
            <w:vAlign w:val="center"/>
          </w:tcPr>
          <w:p w14:paraId="75071319" w14:textId="77777777" w:rsidR="004F459C" w:rsidRPr="00025463" w:rsidRDefault="004F459C" w:rsidP="00454FAD">
            <w:pPr>
              <w:jc w:val="both"/>
              <w:rPr>
                <w:sz w:val="22"/>
                <w:szCs w:val="22"/>
              </w:rPr>
            </w:pPr>
          </w:p>
        </w:tc>
        <w:tc>
          <w:tcPr>
            <w:tcW w:w="1525" w:type="dxa"/>
            <w:vAlign w:val="center"/>
          </w:tcPr>
          <w:p w14:paraId="2B74AD54" w14:textId="77777777" w:rsidR="004F459C" w:rsidRPr="00E955AF" w:rsidRDefault="004F459C" w:rsidP="00454FAD">
            <w:pPr>
              <w:jc w:val="both"/>
              <w:rPr>
                <w:b/>
                <w:bCs/>
                <w:sz w:val="22"/>
                <w:szCs w:val="22"/>
              </w:rPr>
            </w:pPr>
            <w:r w:rsidRPr="00E955AF">
              <w:rPr>
                <w:b/>
                <w:bCs/>
                <w:sz w:val="22"/>
                <w:szCs w:val="22"/>
              </w:rPr>
              <w:t>12,85</w:t>
            </w:r>
          </w:p>
        </w:tc>
      </w:tr>
      <w:tr w:rsidR="004F459C" w:rsidRPr="00025463" w14:paraId="6D42EB4F" w14:textId="77777777" w:rsidTr="00454FAD">
        <w:trPr>
          <w:trHeight w:val="70"/>
        </w:trPr>
        <w:tc>
          <w:tcPr>
            <w:tcW w:w="13435" w:type="dxa"/>
            <w:gridSpan w:val="9"/>
            <w:vAlign w:val="center"/>
          </w:tcPr>
          <w:p w14:paraId="0E83C2C9" w14:textId="77777777" w:rsidR="004F459C" w:rsidRPr="00025463" w:rsidRDefault="004F459C" w:rsidP="00454FAD">
            <w:pPr>
              <w:jc w:val="right"/>
              <w:rPr>
                <w:sz w:val="22"/>
                <w:szCs w:val="22"/>
              </w:rPr>
            </w:pPr>
            <w:r w:rsidRPr="00025463">
              <w:rPr>
                <w:b/>
                <w:bCs/>
                <w:sz w:val="22"/>
                <w:szCs w:val="22"/>
                <w:lang w:val="lt-LT" w:eastAsia="lt-LT"/>
              </w:rPr>
              <w:t>Sutarties kaina 65-ai pirkimo daliai EUR su PVM</w:t>
            </w:r>
          </w:p>
        </w:tc>
        <w:tc>
          <w:tcPr>
            <w:tcW w:w="1307" w:type="dxa"/>
            <w:vAlign w:val="center"/>
          </w:tcPr>
          <w:p w14:paraId="6FD45FF9" w14:textId="77777777" w:rsidR="004F459C" w:rsidRPr="00025463" w:rsidRDefault="004F459C" w:rsidP="00454FAD">
            <w:pPr>
              <w:jc w:val="both"/>
              <w:rPr>
                <w:sz w:val="22"/>
                <w:szCs w:val="22"/>
              </w:rPr>
            </w:pPr>
          </w:p>
        </w:tc>
        <w:tc>
          <w:tcPr>
            <w:tcW w:w="1525" w:type="dxa"/>
            <w:vAlign w:val="center"/>
          </w:tcPr>
          <w:p w14:paraId="4172D42F" w14:textId="77777777" w:rsidR="004F459C" w:rsidRPr="00E955AF" w:rsidRDefault="004F459C" w:rsidP="00454FAD">
            <w:pPr>
              <w:jc w:val="both"/>
              <w:rPr>
                <w:b/>
                <w:bCs/>
                <w:sz w:val="22"/>
                <w:szCs w:val="22"/>
              </w:rPr>
            </w:pPr>
            <w:r w:rsidRPr="00E955AF">
              <w:rPr>
                <w:b/>
                <w:bCs/>
                <w:sz w:val="22"/>
                <w:szCs w:val="22"/>
              </w:rPr>
              <w:t>74,05</w:t>
            </w:r>
          </w:p>
        </w:tc>
      </w:tr>
      <w:tr w:rsidR="004F459C" w:rsidRPr="00025463" w14:paraId="1C1A5382" w14:textId="77777777" w:rsidTr="00454FAD">
        <w:trPr>
          <w:trHeight w:val="70"/>
        </w:trPr>
        <w:tc>
          <w:tcPr>
            <w:tcW w:w="1130" w:type="dxa"/>
            <w:vAlign w:val="center"/>
          </w:tcPr>
          <w:p w14:paraId="3B4A268B" w14:textId="77777777" w:rsidR="004F459C" w:rsidRPr="00025463" w:rsidRDefault="004F459C" w:rsidP="00454FAD">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sidRPr="00025463">
              <w:rPr>
                <w:rFonts w:eastAsia="Times New Roman"/>
                <w:sz w:val="22"/>
                <w:szCs w:val="22"/>
                <w:bdr w:val="none" w:sz="0" w:space="0" w:color="auto"/>
                <w:lang w:val="lt-LT" w:eastAsia="lt-LT"/>
              </w:rPr>
              <w:t>66.</w:t>
            </w:r>
          </w:p>
        </w:tc>
        <w:tc>
          <w:tcPr>
            <w:tcW w:w="1848" w:type="dxa"/>
            <w:vAlign w:val="center"/>
          </w:tcPr>
          <w:p w14:paraId="26B56B41"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Pincetas</w:t>
            </w:r>
          </w:p>
        </w:tc>
        <w:tc>
          <w:tcPr>
            <w:tcW w:w="1984" w:type="dxa"/>
            <w:vAlign w:val="center"/>
          </w:tcPr>
          <w:p w14:paraId="18E05E67" w14:textId="77777777" w:rsidR="004F459C" w:rsidRPr="00025463" w:rsidRDefault="004F459C" w:rsidP="00454FAD">
            <w:pPr>
              <w:rPr>
                <w:rFonts w:eastAsia="Times New Roman"/>
                <w:color w:val="000000"/>
                <w:sz w:val="22"/>
                <w:szCs w:val="22"/>
                <w:lang w:eastAsia="lt-LT"/>
              </w:rPr>
            </w:pPr>
            <w:r w:rsidRPr="00A94D01">
              <w:rPr>
                <w:rFonts w:eastAsia="Times New Roman"/>
                <w:color w:val="000000"/>
                <w:bdr w:val="none" w:sz="0" w:space="0" w:color="auto"/>
                <w:lang w:val="lt-LT" w:eastAsia="lt-LT"/>
              </w:rPr>
              <w:t>Chirurginiai, Falcon* 1x2 dantukai 16 cm</w:t>
            </w:r>
          </w:p>
        </w:tc>
        <w:tc>
          <w:tcPr>
            <w:tcW w:w="992" w:type="dxa"/>
            <w:vAlign w:val="center"/>
          </w:tcPr>
          <w:p w14:paraId="72925B53" w14:textId="77777777" w:rsidR="004F459C" w:rsidRPr="00025463" w:rsidRDefault="004F459C" w:rsidP="00454FAD">
            <w:pPr>
              <w:jc w:val="center"/>
              <w:rPr>
                <w:rFonts w:eastAsia="Times New Roman"/>
                <w:color w:val="000000"/>
                <w:sz w:val="22"/>
                <w:szCs w:val="22"/>
                <w:lang w:eastAsia="lt-LT"/>
              </w:rPr>
            </w:pPr>
            <w:r w:rsidRPr="00A94D01">
              <w:rPr>
                <w:rFonts w:eastAsia="Times New Roman"/>
                <w:bdr w:val="none" w:sz="0" w:space="0" w:color="auto"/>
                <w:lang w:val="lt-LT" w:eastAsia="lt-LT"/>
              </w:rPr>
              <w:t>vnt.</w:t>
            </w:r>
          </w:p>
        </w:tc>
        <w:tc>
          <w:tcPr>
            <w:tcW w:w="1447" w:type="dxa"/>
            <w:vAlign w:val="center"/>
          </w:tcPr>
          <w:p w14:paraId="73C66B0C" w14:textId="77777777" w:rsidR="004F459C" w:rsidRPr="00025463" w:rsidRDefault="004F459C" w:rsidP="00454FAD">
            <w:pPr>
              <w:jc w:val="center"/>
              <w:rPr>
                <w:rFonts w:eastAsia="Times New Roman"/>
                <w:color w:val="000000"/>
                <w:sz w:val="22"/>
                <w:szCs w:val="22"/>
                <w:lang w:eastAsia="lt-LT"/>
              </w:rPr>
            </w:pPr>
            <w:r w:rsidRPr="008C2661">
              <w:rPr>
                <w:rFonts w:eastAsia="Times New Roman"/>
                <w:bdr w:val="none" w:sz="0" w:space="0" w:color="auto"/>
                <w:lang w:val="lt-LT" w:eastAsia="lt-LT"/>
              </w:rPr>
              <w:t>10</w:t>
            </w:r>
          </w:p>
        </w:tc>
        <w:tc>
          <w:tcPr>
            <w:tcW w:w="1984" w:type="dxa"/>
            <w:vAlign w:val="center"/>
          </w:tcPr>
          <w:p w14:paraId="1E059AC8" w14:textId="77777777" w:rsidR="004F459C" w:rsidRPr="00025463" w:rsidRDefault="004F459C" w:rsidP="00454FAD">
            <w:pPr>
              <w:jc w:val="both"/>
              <w:rPr>
                <w:sz w:val="22"/>
                <w:szCs w:val="22"/>
              </w:rPr>
            </w:pPr>
            <w:r w:rsidRPr="00A94D01">
              <w:rPr>
                <w:rFonts w:eastAsia="Times New Roman"/>
                <w:color w:val="000000"/>
                <w:bdr w:val="none" w:sz="0" w:space="0" w:color="auto"/>
                <w:lang w:val="lt-LT" w:eastAsia="lt-LT"/>
              </w:rPr>
              <w:t>Chirurginiai, Falcon* 1x2 dantukai 16 cm</w:t>
            </w:r>
            <w:r>
              <w:rPr>
                <w:rFonts w:eastAsia="Times New Roman"/>
                <w:color w:val="000000"/>
                <w:bdr w:val="none" w:sz="0" w:space="0" w:color="auto"/>
                <w:lang w:val="lt-LT" w:eastAsia="lt-LT"/>
              </w:rPr>
              <w:t xml:space="preserve"> Falcon</w:t>
            </w:r>
          </w:p>
        </w:tc>
        <w:tc>
          <w:tcPr>
            <w:tcW w:w="1813" w:type="dxa"/>
            <w:vAlign w:val="center"/>
          </w:tcPr>
          <w:p w14:paraId="580FA207" w14:textId="77777777" w:rsidR="004F459C" w:rsidRPr="00345A31" w:rsidRDefault="004F459C" w:rsidP="00454FAD">
            <w:pPr>
              <w:jc w:val="both"/>
              <w:rPr>
                <w:b/>
                <w:bCs/>
                <w:sz w:val="22"/>
                <w:szCs w:val="22"/>
              </w:rPr>
            </w:pPr>
            <w:r w:rsidRPr="00345A31">
              <w:rPr>
                <w:b/>
                <w:bCs/>
                <w:sz w:val="22"/>
                <w:szCs w:val="22"/>
              </w:rPr>
              <w:t>BD.752.160</w:t>
            </w:r>
          </w:p>
        </w:tc>
        <w:tc>
          <w:tcPr>
            <w:tcW w:w="851" w:type="dxa"/>
            <w:vAlign w:val="center"/>
          </w:tcPr>
          <w:p w14:paraId="6AC7C94C" w14:textId="77777777" w:rsidR="004F459C" w:rsidRPr="00025463" w:rsidRDefault="004F459C" w:rsidP="00454FAD">
            <w:pPr>
              <w:jc w:val="both"/>
              <w:rPr>
                <w:sz w:val="22"/>
                <w:szCs w:val="22"/>
              </w:rPr>
            </w:pPr>
            <w:r w:rsidRPr="00025463">
              <w:rPr>
                <w:sz w:val="22"/>
                <w:szCs w:val="22"/>
              </w:rPr>
              <w:t>21%</w:t>
            </w:r>
          </w:p>
        </w:tc>
        <w:tc>
          <w:tcPr>
            <w:tcW w:w="1386" w:type="dxa"/>
            <w:vAlign w:val="center"/>
          </w:tcPr>
          <w:p w14:paraId="0D8251E3" w14:textId="77777777" w:rsidR="004F459C" w:rsidRPr="00025463" w:rsidRDefault="004F459C" w:rsidP="00454FAD">
            <w:pPr>
              <w:jc w:val="both"/>
              <w:rPr>
                <w:sz w:val="22"/>
                <w:szCs w:val="22"/>
              </w:rPr>
            </w:pPr>
            <w:r>
              <w:rPr>
                <w:sz w:val="22"/>
                <w:szCs w:val="22"/>
              </w:rPr>
              <w:t>7,14</w:t>
            </w:r>
          </w:p>
        </w:tc>
        <w:tc>
          <w:tcPr>
            <w:tcW w:w="1307" w:type="dxa"/>
            <w:vAlign w:val="center"/>
          </w:tcPr>
          <w:p w14:paraId="5B8C2CE2" w14:textId="77777777" w:rsidR="004F459C" w:rsidRPr="00025463" w:rsidRDefault="004F459C" w:rsidP="00454FAD">
            <w:pPr>
              <w:jc w:val="both"/>
              <w:rPr>
                <w:sz w:val="22"/>
                <w:szCs w:val="22"/>
              </w:rPr>
            </w:pPr>
            <w:r>
              <w:rPr>
                <w:sz w:val="22"/>
                <w:szCs w:val="22"/>
              </w:rPr>
              <w:t>8,64</w:t>
            </w:r>
          </w:p>
        </w:tc>
        <w:tc>
          <w:tcPr>
            <w:tcW w:w="1525" w:type="dxa"/>
            <w:vAlign w:val="center"/>
          </w:tcPr>
          <w:p w14:paraId="2BA2B584" w14:textId="77777777" w:rsidR="004F459C" w:rsidRPr="00025463" w:rsidRDefault="004F459C" w:rsidP="00454FAD">
            <w:pPr>
              <w:jc w:val="both"/>
              <w:rPr>
                <w:sz w:val="22"/>
                <w:szCs w:val="22"/>
              </w:rPr>
            </w:pPr>
            <w:r>
              <w:rPr>
                <w:sz w:val="22"/>
                <w:szCs w:val="22"/>
              </w:rPr>
              <w:t>71,40</w:t>
            </w:r>
          </w:p>
        </w:tc>
      </w:tr>
      <w:tr w:rsidR="004F459C" w:rsidRPr="00025463" w14:paraId="2E530428" w14:textId="77777777" w:rsidTr="00454FAD">
        <w:trPr>
          <w:trHeight w:val="70"/>
        </w:trPr>
        <w:tc>
          <w:tcPr>
            <w:tcW w:w="13435" w:type="dxa"/>
            <w:gridSpan w:val="9"/>
            <w:vAlign w:val="center"/>
          </w:tcPr>
          <w:p w14:paraId="390271CD" w14:textId="77777777" w:rsidR="004F459C" w:rsidRPr="00025463" w:rsidRDefault="004F459C" w:rsidP="00454FAD">
            <w:pPr>
              <w:jc w:val="right"/>
              <w:rPr>
                <w:sz w:val="22"/>
                <w:szCs w:val="22"/>
              </w:rPr>
            </w:pPr>
            <w:r w:rsidRPr="00025463">
              <w:rPr>
                <w:b/>
                <w:bCs/>
                <w:sz w:val="22"/>
                <w:szCs w:val="22"/>
                <w:lang w:val="lt-LT" w:eastAsia="lt-LT"/>
              </w:rPr>
              <w:t>Bendra pradinė vertė 66-ai pirkimo daliai EUR be PVM</w:t>
            </w:r>
          </w:p>
        </w:tc>
        <w:tc>
          <w:tcPr>
            <w:tcW w:w="1307" w:type="dxa"/>
            <w:vAlign w:val="center"/>
          </w:tcPr>
          <w:p w14:paraId="2DD49B91" w14:textId="77777777" w:rsidR="004F459C" w:rsidRPr="00025463" w:rsidRDefault="004F459C" w:rsidP="00454FAD">
            <w:pPr>
              <w:jc w:val="both"/>
              <w:rPr>
                <w:sz w:val="22"/>
                <w:szCs w:val="22"/>
              </w:rPr>
            </w:pPr>
          </w:p>
        </w:tc>
        <w:tc>
          <w:tcPr>
            <w:tcW w:w="1525" w:type="dxa"/>
            <w:vAlign w:val="center"/>
          </w:tcPr>
          <w:p w14:paraId="5060D833" w14:textId="77777777" w:rsidR="004F459C" w:rsidRPr="00345A31" w:rsidRDefault="004F459C" w:rsidP="00454FAD">
            <w:pPr>
              <w:jc w:val="both"/>
              <w:rPr>
                <w:b/>
                <w:bCs/>
                <w:sz w:val="22"/>
                <w:szCs w:val="22"/>
              </w:rPr>
            </w:pPr>
            <w:r w:rsidRPr="00345A31">
              <w:rPr>
                <w:b/>
                <w:bCs/>
                <w:sz w:val="22"/>
                <w:szCs w:val="22"/>
              </w:rPr>
              <w:t>71,40</w:t>
            </w:r>
          </w:p>
        </w:tc>
      </w:tr>
      <w:tr w:rsidR="004F459C" w:rsidRPr="00025463" w14:paraId="618A0F55" w14:textId="77777777" w:rsidTr="00454FAD">
        <w:trPr>
          <w:trHeight w:val="70"/>
        </w:trPr>
        <w:tc>
          <w:tcPr>
            <w:tcW w:w="13435" w:type="dxa"/>
            <w:gridSpan w:val="9"/>
            <w:vAlign w:val="center"/>
          </w:tcPr>
          <w:p w14:paraId="41D32E06" w14:textId="77777777" w:rsidR="004F459C" w:rsidRPr="00025463" w:rsidRDefault="004F459C" w:rsidP="00454FAD">
            <w:pPr>
              <w:jc w:val="right"/>
              <w:rPr>
                <w:sz w:val="22"/>
                <w:szCs w:val="22"/>
              </w:rPr>
            </w:pPr>
            <w:r w:rsidRPr="00025463">
              <w:rPr>
                <w:b/>
                <w:bCs/>
                <w:sz w:val="22"/>
                <w:szCs w:val="22"/>
                <w:lang w:val="lt-LT" w:eastAsia="lt-LT"/>
              </w:rPr>
              <w:t>PVM (</w:t>
            </w:r>
            <w:r>
              <w:rPr>
                <w:b/>
                <w:bCs/>
                <w:sz w:val="22"/>
                <w:szCs w:val="22"/>
                <w:lang w:val="lt-LT" w:eastAsia="lt-LT"/>
              </w:rPr>
              <w:t>21</w:t>
            </w:r>
            <w:r w:rsidRPr="00025463">
              <w:rPr>
                <w:b/>
                <w:bCs/>
                <w:sz w:val="22"/>
                <w:szCs w:val="22"/>
                <w:lang w:val="lt-LT" w:eastAsia="lt-LT"/>
              </w:rPr>
              <w:t>%) suma</w:t>
            </w:r>
          </w:p>
        </w:tc>
        <w:tc>
          <w:tcPr>
            <w:tcW w:w="1307" w:type="dxa"/>
            <w:vAlign w:val="center"/>
          </w:tcPr>
          <w:p w14:paraId="5D997E8F" w14:textId="77777777" w:rsidR="004F459C" w:rsidRPr="00025463" w:rsidRDefault="004F459C" w:rsidP="00454FAD">
            <w:pPr>
              <w:jc w:val="both"/>
              <w:rPr>
                <w:sz w:val="22"/>
                <w:szCs w:val="22"/>
              </w:rPr>
            </w:pPr>
          </w:p>
        </w:tc>
        <w:tc>
          <w:tcPr>
            <w:tcW w:w="1525" w:type="dxa"/>
            <w:vAlign w:val="center"/>
          </w:tcPr>
          <w:p w14:paraId="649920BE" w14:textId="77777777" w:rsidR="004F459C" w:rsidRPr="00345A31" w:rsidRDefault="004F459C" w:rsidP="00454FAD">
            <w:pPr>
              <w:jc w:val="both"/>
              <w:rPr>
                <w:b/>
                <w:bCs/>
                <w:sz w:val="22"/>
                <w:szCs w:val="22"/>
              </w:rPr>
            </w:pPr>
            <w:r w:rsidRPr="00345A31">
              <w:rPr>
                <w:b/>
                <w:bCs/>
                <w:sz w:val="22"/>
                <w:szCs w:val="22"/>
              </w:rPr>
              <w:t>14,99</w:t>
            </w:r>
          </w:p>
        </w:tc>
      </w:tr>
      <w:tr w:rsidR="004F459C" w:rsidRPr="00025463" w14:paraId="1B8A3058" w14:textId="77777777" w:rsidTr="00454FAD">
        <w:trPr>
          <w:trHeight w:val="70"/>
        </w:trPr>
        <w:tc>
          <w:tcPr>
            <w:tcW w:w="13435" w:type="dxa"/>
            <w:gridSpan w:val="9"/>
            <w:vAlign w:val="center"/>
          </w:tcPr>
          <w:p w14:paraId="087B28D1" w14:textId="77777777" w:rsidR="004F459C" w:rsidRPr="00025463" w:rsidRDefault="004F459C" w:rsidP="00454FAD">
            <w:pPr>
              <w:jc w:val="right"/>
              <w:rPr>
                <w:sz w:val="22"/>
                <w:szCs w:val="22"/>
              </w:rPr>
            </w:pPr>
            <w:r w:rsidRPr="00025463">
              <w:rPr>
                <w:b/>
                <w:bCs/>
                <w:sz w:val="22"/>
                <w:szCs w:val="22"/>
                <w:lang w:val="lt-LT" w:eastAsia="lt-LT"/>
              </w:rPr>
              <w:t>Sutarties kaina 66-ai pirkimo daliai EUR su PVM</w:t>
            </w:r>
          </w:p>
        </w:tc>
        <w:tc>
          <w:tcPr>
            <w:tcW w:w="1307" w:type="dxa"/>
            <w:vAlign w:val="center"/>
          </w:tcPr>
          <w:p w14:paraId="77D993D8" w14:textId="77777777" w:rsidR="004F459C" w:rsidRPr="00025463" w:rsidRDefault="004F459C" w:rsidP="00454FAD">
            <w:pPr>
              <w:jc w:val="both"/>
              <w:rPr>
                <w:sz w:val="22"/>
                <w:szCs w:val="22"/>
              </w:rPr>
            </w:pPr>
          </w:p>
        </w:tc>
        <w:tc>
          <w:tcPr>
            <w:tcW w:w="1525" w:type="dxa"/>
            <w:vAlign w:val="center"/>
          </w:tcPr>
          <w:p w14:paraId="7109AEF7" w14:textId="77777777" w:rsidR="004F459C" w:rsidRPr="00345A31" w:rsidRDefault="004F459C" w:rsidP="00454FAD">
            <w:pPr>
              <w:jc w:val="both"/>
              <w:rPr>
                <w:b/>
                <w:bCs/>
                <w:sz w:val="22"/>
                <w:szCs w:val="22"/>
              </w:rPr>
            </w:pPr>
            <w:r w:rsidRPr="00345A31">
              <w:rPr>
                <w:b/>
                <w:bCs/>
                <w:sz w:val="22"/>
                <w:szCs w:val="22"/>
              </w:rPr>
              <w:t>86,39</w:t>
            </w:r>
          </w:p>
        </w:tc>
      </w:tr>
    </w:tbl>
    <w:p w14:paraId="1F6D6821" w14:textId="77777777" w:rsidR="004F459C" w:rsidRPr="00CD2A61" w:rsidRDefault="004F459C" w:rsidP="004F459C">
      <w:pPr>
        <w:pStyle w:val="NormalWeb"/>
        <w:spacing w:before="0" w:beforeAutospacing="0" w:after="40" w:afterAutospacing="0"/>
        <w:jc w:val="center"/>
        <w:rPr>
          <w:sz w:val="22"/>
          <w:szCs w:val="22"/>
        </w:rPr>
        <w:sectPr w:rsidR="004F459C" w:rsidRPr="00CD2A61" w:rsidSect="004F459C">
          <w:pgSz w:w="16840" w:h="11900" w:orient="landscape" w:code="9"/>
          <w:pgMar w:top="426" w:right="567" w:bottom="567" w:left="567" w:header="720" w:footer="720" w:gutter="0"/>
          <w:cols w:space="1296"/>
        </w:sectPr>
      </w:pPr>
    </w:p>
    <w:p w14:paraId="3AC680B5" w14:textId="327FDAE8" w:rsidR="00D45828" w:rsidRPr="004F459C" w:rsidRDefault="00D45828" w:rsidP="004F459C">
      <w:pPr>
        <w:pStyle w:val="NormalWeb"/>
        <w:spacing w:before="0" w:beforeAutospacing="0" w:after="40" w:afterAutospacing="0"/>
        <w:rPr>
          <w:rFonts w:eastAsia="Arial Unicode MS"/>
          <w:i/>
          <w:highlight w:val="yellow"/>
          <w:bdr w:val="nil"/>
        </w:rPr>
      </w:pPr>
    </w:p>
    <w:sectPr w:rsidR="00D45828" w:rsidRPr="004F459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20B87" w14:textId="77777777" w:rsidR="00B81577" w:rsidRDefault="00B81577">
      <w:r>
        <w:separator/>
      </w:r>
    </w:p>
  </w:endnote>
  <w:endnote w:type="continuationSeparator" w:id="0">
    <w:p w14:paraId="5EA092A2" w14:textId="77777777" w:rsidR="00B81577" w:rsidRDefault="00B81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panose1 w:val="00000000000000000000"/>
    <w:charset w:val="00"/>
    <w:family w:val="roman"/>
    <w:notTrueType/>
    <w:pitch w:val="default"/>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E5F901" w14:textId="77777777" w:rsidR="00C72B2F" w:rsidRDefault="00000000">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noProof/>
        <w:sz w:val="18"/>
        <w:szCs w:val="18"/>
      </w:rPr>
      <w:t>32</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noProof/>
        <w:sz w:val="18"/>
        <w:szCs w:val="18"/>
      </w:rPr>
      <w:t>33</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58FB6" w14:textId="77777777" w:rsidR="00B81577" w:rsidRDefault="00B81577">
      <w:r>
        <w:separator/>
      </w:r>
    </w:p>
  </w:footnote>
  <w:footnote w:type="continuationSeparator" w:id="0">
    <w:p w14:paraId="068A0B61" w14:textId="77777777" w:rsidR="00B81577" w:rsidRDefault="00B815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8A6"/>
    <w:rsid w:val="00310804"/>
    <w:rsid w:val="003539D6"/>
    <w:rsid w:val="004318A6"/>
    <w:rsid w:val="004F459C"/>
    <w:rsid w:val="00550418"/>
    <w:rsid w:val="00666CDA"/>
    <w:rsid w:val="00A14BF1"/>
    <w:rsid w:val="00B81577"/>
    <w:rsid w:val="00C72B2F"/>
    <w:rsid w:val="00D45828"/>
    <w:rsid w:val="00DD19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B380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F459C"/>
    <w:pPr>
      <w:pBdr>
        <w:top w:val="nil"/>
        <w:left w:val="nil"/>
        <w:bottom w:val="nil"/>
        <w:right w:val="nil"/>
        <w:between w:val="nil"/>
        <w:bar w:val="nil"/>
      </w:pBdr>
      <w:spacing w:after="0" w:line="240" w:lineRule="auto"/>
    </w:pPr>
    <w:rPr>
      <w:rFonts w:ascii="Times New Roman" w:eastAsia="Arial Unicode MS" w:hAnsi="Times New Roman" w:cs="Times New Roman"/>
      <w:kern w:val="0"/>
      <w:sz w:val="24"/>
      <w:szCs w:val="24"/>
      <w:bdr w:val="nil"/>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4F459C"/>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kern w:val="0"/>
      <w:sz w:val="20"/>
      <w:szCs w:val="20"/>
      <w:bdr w:val="nil"/>
      <w:lang w:val="lt-LT" w:eastAsia="lt-LT"/>
      <w14:ligatures w14:val="none"/>
    </w:rPr>
  </w:style>
  <w:style w:type="paragraph" w:styleId="Title">
    <w:name w:val="Title"/>
    <w:next w:val="Body2"/>
    <w:link w:val="TitleChar"/>
    <w:qFormat/>
    <w:rsid w:val="004F459C"/>
    <w:pPr>
      <w:pBdr>
        <w:top w:val="nil"/>
        <w:left w:val="nil"/>
        <w:bottom w:val="nil"/>
        <w:right w:val="nil"/>
        <w:between w:val="nil"/>
        <w:bar w:val="nil"/>
      </w:pBdr>
      <w:spacing w:after="0" w:line="288" w:lineRule="auto"/>
    </w:pPr>
    <w:rPr>
      <w:rFonts w:ascii="Helvetica Neue UltraLight" w:eastAsia="Arial Unicode MS" w:hAnsi="Helvetica Neue UltraLight" w:cs="Arial Unicode MS"/>
      <w:color w:val="000000"/>
      <w:spacing w:val="16"/>
      <w:kern w:val="0"/>
      <w:sz w:val="56"/>
      <w:szCs w:val="56"/>
      <w:bdr w:val="nil"/>
      <w:lang w:val="en-US" w:eastAsia="lt-LT"/>
      <w14:ligatures w14:val="none"/>
    </w:rPr>
  </w:style>
  <w:style w:type="character" w:customStyle="1" w:styleId="TitleChar">
    <w:name w:val="Title Char"/>
    <w:basedOn w:val="DefaultParagraphFont"/>
    <w:link w:val="Title"/>
    <w:rsid w:val="004F459C"/>
    <w:rPr>
      <w:rFonts w:ascii="Helvetica Neue UltraLight" w:eastAsia="Arial Unicode MS" w:hAnsi="Helvetica Neue UltraLight" w:cs="Arial Unicode MS"/>
      <w:color w:val="000000"/>
      <w:spacing w:val="16"/>
      <w:kern w:val="0"/>
      <w:sz w:val="56"/>
      <w:szCs w:val="56"/>
      <w:bdr w:val="nil"/>
      <w:lang w:val="en-US" w:eastAsia="lt-LT"/>
      <w14:ligatures w14:val="none"/>
    </w:rPr>
  </w:style>
  <w:style w:type="paragraph" w:customStyle="1" w:styleId="Body2">
    <w:name w:val="Body 2"/>
    <w:rsid w:val="004F459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eastAsia="lt-LT"/>
      <w14:ligatures w14:val="none"/>
    </w:rPr>
  </w:style>
  <w:style w:type="paragraph" w:customStyle="1" w:styleId="Body">
    <w:name w:val="Body"/>
    <w:rsid w:val="004F459C"/>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kern w:val="0"/>
      <w:sz w:val="20"/>
      <w:szCs w:val="20"/>
      <w:bdr w:val="nil"/>
      <w:lang w:val="lt-LT" w:eastAsia="lt-LT"/>
      <w14:ligatures w14:val="none"/>
    </w:rPr>
  </w:style>
  <w:style w:type="paragraph" w:styleId="NormalWeb">
    <w:name w:val="Normal (Web)"/>
    <w:basedOn w:val="Normal"/>
    <w:uiPriority w:val="99"/>
    <w:unhideWhenUsed/>
    <w:rsid w:val="004F45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styleId="Header">
    <w:name w:val="header"/>
    <w:basedOn w:val="Normal"/>
    <w:link w:val="HeaderChar"/>
    <w:uiPriority w:val="99"/>
    <w:unhideWhenUsed/>
    <w:rsid w:val="003539D6"/>
    <w:pPr>
      <w:tabs>
        <w:tab w:val="center" w:pos="4819"/>
        <w:tab w:val="right" w:pos="9638"/>
      </w:tabs>
    </w:pPr>
  </w:style>
  <w:style w:type="character" w:customStyle="1" w:styleId="HeaderChar">
    <w:name w:val="Header Char"/>
    <w:basedOn w:val="DefaultParagraphFont"/>
    <w:link w:val="Header"/>
    <w:uiPriority w:val="99"/>
    <w:rsid w:val="003539D6"/>
    <w:rPr>
      <w:rFonts w:ascii="Times New Roman" w:eastAsia="Arial Unicode MS" w:hAnsi="Times New Roman" w:cs="Times New Roman"/>
      <w:kern w:val="0"/>
      <w:sz w:val="24"/>
      <w:szCs w:val="24"/>
      <w:bdr w:val="nil"/>
      <w:lang w:val="en-US"/>
      <w14:ligatures w14:val="none"/>
    </w:rPr>
  </w:style>
  <w:style w:type="paragraph" w:styleId="Footer">
    <w:name w:val="footer"/>
    <w:basedOn w:val="Normal"/>
    <w:link w:val="FooterChar"/>
    <w:uiPriority w:val="99"/>
    <w:unhideWhenUsed/>
    <w:rsid w:val="003539D6"/>
    <w:pPr>
      <w:tabs>
        <w:tab w:val="center" w:pos="4819"/>
        <w:tab w:val="right" w:pos="9638"/>
      </w:tabs>
    </w:pPr>
  </w:style>
  <w:style w:type="character" w:customStyle="1" w:styleId="FooterChar">
    <w:name w:val="Footer Char"/>
    <w:basedOn w:val="DefaultParagraphFont"/>
    <w:link w:val="Footer"/>
    <w:uiPriority w:val="99"/>
    <w:rsid w:val="003539D6"/>
    <w:rPr>
      <w:rFonts w:ascii="Times New Roman" w:eastAsia="Arial Unicode MS" w:hAnsi="Times New Roman" w:cs="Times New Roman"/>
      <w:kern w:val="0"/>
      <w:sz w:val="24"/>
      <w:szCs w:val="24"/>
      <w:bdr w:val="nil"/>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30750-30E5-4E0F-B849-2C2A0ABA8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4377</Words>
  <Characters>2495</Characters>
  <Application>Microsoft Office Word</Application>
  <DocSecurity>0</DocSecurity>
  <Lines>20</Lines>
  <Paragraphs>13</Paragraphs>
  <ScaleCrop>false</ScaleCrop>
  <Company/>
  <LinksUpToDate>false</LinksUpToDate>
  <CharactersWithSpaces>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2025-10-30T12:33:00Z</dcterms:created>
  <dcterms:modified xsi:type="dcterms:W3CDTF">2025-10-30T12:33:00Z</dcterms:modified>
</cp:coreProperties>
</file>